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EF" w:rsidRDefault="00980FEF" w:rsidP="00980FEF">
      <w:pPr>
        <w:spacing w:after="0"/>
        <w:jc w:val="both"/>
        <w:rPr>
          <w:sz w:val="28"/>
          <w:szCs w:val="28"/>
        </w:rPr>
      </w:pPr>
    </w:p>
    <w:p w:rsidR="00980FEF" w:rsidRDefault="00980FEF" w:rsidP="00980FE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PUČKO OTVORENO UČILIŠTE KRIŽEVCI</w:t>
      </w:r>
    </w:p>
    <w:p w:rsidR="00980FEF" w:rsidRDefault="00980FEF" w:rsidP="00980FE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(Naziv ustanove)</w:t>
      </w:r>
    </w:p>
    <w:p w:rsidR="00980FEF" w:rsidRDefault="00980FEF" w:rsidP="00980FEF">
      <w:pPr>
        <w:spacing w:after="0"/>
        <w:jc w:val="both"/>
        <w:rPr>
          <w:sz w:val="24"/>
          <w:szCs w:val="24"/>
        </w:rPr>
      </w:pPr>
    </w:p>
    <w:p w:rsidR="00980FEF" w:rsidRDefault="00980FEF" w:rsidP="00980F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 </w:t>
      </w:r>
      <w:r w:rsidR="00975234">
        <w:rPr>
          <w:sz w:val="24"/>
          <w:szCs w:val="24"/>
        </w:rPr>
        <w:t>170/2017.</w:t>
      </w:r>
      <w:r>
        <w:rPr>
          <w:sz w:val="24"/>
          <w:szCs w:val="24"/>
        </w:rPr>
        <w:t>.</w:t>
      </w:r>
    </w:p>
    <w:p w:rsidR="00980FEF" w:rsidRDefault="00980FEF" w:rsidP="00980F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Križevci, 20. </w:t>
      </w:r>
      <w:r w:rsidR="00975234"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>. 2017.</w:t>
      </w:r>
    </w:p>
    <w:p w:rsidR="00980FEF" w:rsidRDefault="00980FEF" w:rsidP="00980FEF">
      <w:pPr>
        <w:spacing w:after="0"/>
        <w:jc w:val="center"/>
        <w:rPr>
          <w:sz w:val="24"/>
          <w:szCs w:val="24"/>
        </w:rPr>
      </w:pPr>
    </w:p>
    <w:p w:rsidR="00980FEF" w:rsidRDefault="00980FEF" w:rsidP="00980F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RADA</w:t>
      </w:r>
      <w:r w:rsidR="00975234">
        <w:rPr>
          <w:b/>
          <w:sz w:val="28"/>
          <w:szCs w:val="28"/>
        </w:rPr>
        <w:t xml:space="preserve"> I FINANCIJSKI PLAN </w:t>
      </w:r>
    </w:p>
    <w:p w:rsidR="00980FEF" w:rsidRDefault="00980FEF" w:rsidP="00980F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 2018. GODINU</w:t>
      </w:r>
    </w:p>
    <w:p w:rsidR="00980FEF" w:rsidRDefault="00980FEF" w:rsidP="00980FEF">
      <w:pPr>
        <w:jc w:val="center"/>
        <w:rPr>
          <w:sz w:val="28"/>
          <w:szCs w:val="28"/>
        </w:rPr>
      </w:pP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5340"/>
      </w:tblGrid>
      <w:tr w:rsidR="00980FEF" w:rsidTr="00643F83">
        <w:trPr>
          <w:trHeight w:val="244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Podaci o ustanovi</w:t>
            </w:r>
          </w:p>
        </w:tc>
      </w:tr>
      <w:tr w:rsidR="00980FEF" w:rsidTr="00643F83">
        <w:trPr>
          <w:trHeight w:val="614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Naziv ustanove: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PUČKO OTVORENO UČILIŠTE KRIŽEVCI</w:t>
            </w:r>
          </w:p>
        </w:tc>
      </w:tr>
      <w:tr w:rsidR="00980FEF" w:rsidTr="00643F83">
        <w:trPr>
          <w:trHeight w:val="530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Sjedište ustanove: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spacing w:after="0" w:line="240" w:lineRule="auto"/>
            </w:pPr>
            <w:r>
              <w:t>TRG SV. FLORIJANA 14, KRIŽEVCI</w:t>
            </w:r>
          </w:p>
          <w:p w:rsidR="00980FEF" w:rsidRDefault="00980FEF" w:rsidP="00643F83">
            <w:pPr>
              <w:spacing w:after="0" w:line="240" w:lineRule="auto"/>
              <w:ind w:left="720"/>
            </w:pPr>
          </w:p>
        </w:tc>
      </w:tr>
      <w:tr w:rsidR="00980FEF" w:rsidTr="00643F83">
        <w:trPr>
          <w:trHeight w:val="288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Matični broj /OIB: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3003426 /69478236897</w:t>
            </w:r>
          </w:p>
        </w:tc>
      </w:tr>
      <w:tr w:rsidR="00980FEF" w:rsidTr="00643F83">
        <w:trPr>
          <w:trHeight w:val="288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Ime i prezime osobe ovlaštene za zastupanje (ravnatelj/ica, zapovjednik, predsjednik)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MELITA HABDIJA</w:t>
            </w:r>
          </w:p>
          <w:p w:rsidR="00980FEF" w:rsidRDefault="00980FEF" w:rsidP="00643F83">
            <w:pPr>
              <w:spacing w:after="0" w:line="240" w:lineRule="auto"/>
            </w:pPr>
            <w:r>
              <w:t>RAVNATELJICA</w:t>
            </w:r>
          </w:p>
        </w:tc>
      </w:tr>
      <w:tr w:rsidR="00980FEF" w:rsidTr="00643F83">
        <w:trPr>
          <w:trHeight w:val="288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Telefon: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711 – 212</w:t>
            </w:r>
          </w:p>
        </w:tc>
      </w:tr>
      <w:tr w:rsidR="00980FEF" w:rsidTr="00643F83">
        <w:trPr>
          <w:trHeight w:val="24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e-pošta: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hyperlink r:id="rId6" w:history="1">
              <w:r>
                <w:rPr>
                  <w:rStyle w:val="Hyperlink"/>
                </w:rPr>
                <w:t>Uciliste-krizevci@kc.t-com.hr</w:t>
              </w:r>
            </w:hyperlink>
          </w:p>
        </w:tc>
      </w:tr>
      <w:tr w:rsidR="00980FEF" w:rsidTr="00643F83">
        <w:trPr>
          <w:trHeight w:val="244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Djelatnost ustanove – sažetak djelokruga rada proračunskog korisnika</w:t>
            </w:r>
          </w:p>
        </w:tc>
      </w:tr>
      <w:tr w:rsidR="00980FEF" w:rsidTr="00643F83">
        <w:trPr>
          <w:trHeight w:val="1227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  <w:r>
              <w:t>Pučko otvoreno učilište pravni je sljednik Narodnog sveučilišta Križevci</w:t>
            </w:r>
          </w:p>
          <w:p w:rsidR="00980FEF" w:rsidRDefault="00980FEF" w:rsidP="00643F83">
            <w:pPr>
              <w:spacing w:after="0" w:line="240" w:lineRule="auto"/>
            </w:pPr>
            <w:r>
              <w:t>Djelatnosti: organiziranje kazališnih, glazbenih, izložbenih i drugih kulturnih događanja, obrazovanje odraslih, djelatnost amaterskog kazališta, organiziranje i promicanje svih oblika kulturnog i umjetničkog stvaralaštva i javnog informiranja, izdavačka djelatnost ...</w:t>
            </w:r>
          </w:p>
          <w:p w:rsidR="00980FEF" w:rsidRDefault="00980FEF" w:rsidP="00643F83">
            <w:pPr>
              <w:spacing w:after="0" w:line="240" w:lineRule="auto"/>
            </w:pPr>
            <w:r>
              <w:t>Zakonski akti po kojima se djeluje: Zakon o ustanovama, Zakon o pučkim učilištima, Zakon o ustanovama, Zakon o obrazovanju odraslih, Zakon o radu</w:t>
            </w:r>
          </w:p>
          <w:p w:rsidR="00980FEF" w:rsidRDefault="00980FEF" w:rsidP="00643F83">
            <w:pPr>
              <w:spacing w:after="0" w:line="240" w:lineRule="auto"/>
            </w:pPr>
            <w:r>
              <w:t>Osnivački akt: Odluka o utvrđivanju osnivačkih prava i obveza prema  Pučkom otvorenom učilištu Križevci (1994.)</w:t>
            </w:r>
          </w:p>
          <w:p w:rsidR="00980FEF" w:rsidRDefault="00980FEF" w:rsidP="00643F83">
            <w:pPr>
              <w:spacing w:after="0" w:line="240" w:lineRule="auto"/>
            </w:pPr>
            <w:r>
              <w:t>Statut Pučkog otvorenog učilišta Križevci, unutarnji akti i pravilnici</w:t>
            </w:r>
          </w:p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</w:p>
        </w:tc>
      </w:tr>
      <w:tr w:rsidR="00980FEF" w:rsidTr="00643F83">
        <w:trPr>
          <w:trHeight w:val="23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Ljudski resursi</w:t>
            </w:r>
          </w:p>
        </w:tc>
      </w:tr>
      <w:tr w:rsidR="00980FEF" w:rsidTr="00643F83">
        <w:trPr>
          <w:trHeight w:val="121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  <w:r>
              <w:t>U Učilištu je zaposleno tri (3) zaposlenika: računovođa – za 3 ustanove ( knjižnica, muzej, učilište), spremačica, ravnateljica. Plaće zaposlenih i ostala prava za zaposlene  regulirani su Pravilnikom o plaćama i drugim materijalnim pravima zaposlenika POU Križevci i financiraju se iz gradskog proračuna</w:t>
            </w:r>
          </w:p>
          <w:p w:rsidR="00980FEF" w:rsidRDefault="00980FEF" w:rsidP="00643F83">
            <w:pPr>
              <w:ind w:firstLine="708"/>
            </w:pPr>
          </w:p>
          <w:p w:rsidR="00980FEF" w:rsidRDefault="00980FEF" w:rsidP="00643F83">
            <w:pPr>
              <w:tabs>
                <w:tab w:val="left" w:pos="5850"/>
              </w:tabs>
              <w:ind w:firstLine="708"/>
            </w:pPr>
            <w:r>
              <w:tab/>
            </w:r>
          </w:p>
          <w:p w:rsidR="00980FEF" w:rsidRDefault="00980FEF" w:rsidP="00643F83">
            <w:pPr>
              <w:tabs>
                <w:tab w:val="left" w:pos="5850"/>
              </w:tabs>
              <w:ind w:firstLine="708"/>
            </w:pPr>
          </w:p>
          <w:p w:rsidR="00980FEF" w:rsidRDefault="00980FEF" w:rsidP="00643F83">
            <w:pPr>
              <w:tabs>
                <w:tab w:val="left" w:pos="5850"/>
              </w:tabs>
              <w:ind w:firstLine="708"/>
            </w:pPr>
          </w:p>
          <w:p w:rsidR="00980FEF" w:rsidRDefault="00980FEF" w:rsidP="00643F83">
            <w:pPr>
              <w:tabs>
                <w:tab w:val="left" w:pos="5850"/>
              </w:tabs>
              <w:ind w:firstLine="708"/>
            </w:pPr>
          </w:p>
          <w:p w:rsidR="00980FEF" w:rsidRDefault="00980FEF" w:rsidP="00643F83">
            <w:pPr>
              <w:tabs>
                <w:tab w:val="left" w:pos="5850"/>
              </w:tabs>
              <w:ind w:firstLine="708"/>
            </w:pPr>
          </w:p>
          <w:p w:rsidR="00980FEF" w:rsidRPr="0002741E" w:rsidRDefault="00980FEF" w:rsidP="00643F83">
            <w:pPr>
              <w:tabs>
                <w:tab w:val="left" w:pos="5850"/>
              </w:tabs>
              <w:ind w:firstLine="708"/>
            </w:pPr>
          </w:p>
        </w:tc>
      </w:tr>
      <w:tr w:rsidR="00980FEF" w:rsidTr="00643F83">
        <w:trPr>
          <w:trHeight w:val="724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lastRenderedPageBreak/>
              <w:t>Program rada – obrazloženi programi</w:t>
            </w:r>
          </w:p>
        </w:tc>
      </w:tr>
      <w:tr w:rsidR="00980FEF" w:rsidTr="00643F83">
        <w:trPr>
          <w:trHeight w:val="12776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0FEF" w:rsidRDefault="00980FEF" w:rsidP="00643F83">
            <w:pPr>
              <w:pStyle w:val="ListParagraph"/>
              <w:spacing w:after="0" w:line="240" w:lineRule="auto"/>
              <w:jc w:val="both"/>
            </w:pPr>
          </w:p>
          <w:p w:rsidR="00980FEF" w:rsidRDefault="00980FEF" w:rsidP="00643F83">
            <w:pPr>
              <w:pStyle w:val="ListParagraph"/>
              <w:spacing w:after="0" w:line="240" w:lineRule="auto"/>
              <w:jc w:val="both"/>
            </w:pPr>
          </w:p>
          <w:p w:rsidR="00980FEF" w:rsidRPr="002555D0" w:rsidRDefault="00980FEF" w:rsidP="00643F83">
            <w:pPr>
              <w:pStyle w:val="ListParagraph"/>
              <w:spacing w:after="0" w:line="240" w:lineRule="auto"/>
              <w:jc w:val="both"/>
            </w:pPr>
            <w:r w:rsidRPr="002555D0">
              <w:t xml:space="preserve">Osnovne djelatnosti POU Križevci su organiziranje kulturnih programa i manifestacija od interesa za Grad, obrazovanje odraslih, te ostale djelatnosti prema Statutu i Aktu o osnivanju. 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 xml:space="preserve">Djelatnost kulture i organiziranja kulturnih programa i manifestacija realizira se sukladno  godišnjem planu i programu rada. Financirane su iz gradskog proračuna, županijskog proračuna te iz državnog proračuna (Ministarstvo kulture). Može ih se podijeliti se u dvije grupe: </w:t>
            </w:r>
          </w:p>
          <w:p w:rsidR="00980FEF" w:rsidRPr="002555D0" w:rsidRDefault="00980FEF" w:rsidP="00643F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  <w:r w:rsidRPr="002555D0">
              <w:t xml:space="preserve">gradske manifestacije </w:t>
            </w:r>
          </w:p>
          <w:p w:rsidR="00980FEF" w:rsidRPr="002555D0" w:rsidRDefault="00980FEF" w:rsidP="00643F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  <w:r w:rsidRPr="002555D0">
              <w:t xml:space="preserve">kulturni programi i javno informiranje </w:t>
            </w:r>
          </w:p>
          <w:p w:rsidR="00980FEF" w:rsidRDefault="00980FEF" w:rsidP="00643F83">
            <w:pPr>
              <w:spacing w:after="0" w:line="240" w:lineRule="auto"/>
              <w:jc w:val="both"/>
            </w:pPr>
            <w:r w:rsidRPr="00337462">
              <w:t>Financijskim planom za 201</w:t>
            </w:r>
            <w:r>
              <w:t>8</w:t>
            </w:r>
            <w:r w:rsidRPr="00337462">
              <w:t xml:space="preserve">. godinu </w:t>
            </w:r>
            <w:r>
              <w:t xml:space="preserve">programi u kulturi </w:t>
            </w:r>
            <w:r w:rsidRPr="00337462">
              <w:t xml:space="preserve">od strane </w:t>
            </w:r>
            <w:r>
              <w:t>Osnivača, Grad Križevci nisu planirana financijska sredstva</w:t>
            </w:r>
            <w:r w:rsidRPr="00337462">
              <w:t>.</w:t>
            </w:r>
            <w:r w:rsidRPr="002555D0">
              <w:t xml:space="preserve"> </w:t>
            </w:r>
            <w:r>
              <w:t xml:space="preserve">U 2018. godini iz sredstava ministarstva kulture, planira se organizirati koncerti ozbiljne glazbe koji će biti financirani temeljem suradnje sa glazbenicima koji su aplicirali na Javne potrebe MK za održavanje koncerata u Križevcima. Rezultati ovoga će se znati u veljači ili ožujku. Obzirom da je za realizaciju i ovih programa potrebno sufinanciranje lokalnog organizatora upitno je da li će se i dodjeljeni koncerti izvesti. </w:t>
            </w:r>
          </w:p>
          <w:p w:rsidR="00980FEF" w:rsidRPr="0043694E" w:rsidRDefault="00980FEF" w:rsidP="00643F83">
            <w:pPr>
              <w:spacing w:after="0" w:line="240" w:lineRule="auto"/>
              <w:jc w:val="both"/>
            </w:pPr>
            <w:r>
              <w:t>POU je aplicirao na natječaj MK po nazivom „Umjetnost i kultura 54</w:t>
            </w:r>
            <w:r w:rsidRPr="0043694E">
              <w:t>+“  kroz koji će se</w:t>
            </w:r>
            <w:r>
              <w:t xml:space="preserve">, ukoliko projektna prijava bude prihvaćena za fiannciranje, provesti i aktivnosti kulturnih programa. 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>
              <w:t>OBRAZOVANJE ODRASLIH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>Obrazovanje odraslih se provodi  sukladno važećim zakonskim propisima, a izvode se programi osposobljavanja i usavršavanja koji imaju odobrenje Ministarstva obrazovanja, znanosti i sporta za izvođenje i pravo upisa u radnu knjižicu, tzv. Verificirani programi.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 xml:space="preserve">Pučko otvoreno učilište Križevci trenutno u ponudi ima 16 verificiranih programa iz područja informatike, osobnih usluga, računovodstva, poljoprivrede koji se provode po formiranju polazničke skupine. 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 xml:space="preserve">Osim verificiranih tečajeva i programe formalnog obrazovanja, kroz programe neformalnog obrazovanja pripremaju se i provode tečajevi i edukacije kroz koje polaznici zadovoljavaju svoje potrebe i interese u stjecanju novih vještina i znanja  na raznim područjima. 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 xml:space="preserve">Provođenje programa obrazovanja odraslih kao i do sada uvelike će ovisiti stanju na tržištu i mogućnostima polaznika koji samofinanciraju svoju edukaciju. Pokretanje grupe polaznika pojedinog programa ovisi o broju prijavljenih prolaznika. Svaki pokrenuti program bazirati će se, kao i do sada, na ekonomskoj isplativosti i mogućnosti pokrivanja svih troškova vezanih uz njega ( honorar predavača, literatura za polaznike, materijalni i ostali troškovi provođenja). </w:t>
            </w:r>
          </w:p>
          <w:p w:rsidR="00980FEF" w:rsidRPr="002555D0" w:rsidRDefault="00980FEF" w:rsidP="00643F83">
            <w:pPr>
              <w:spacing w:after="0" w:line="240" w:lineRule="auto"/>
              <w:jc w:val="both"/>
            </w:pPr>
            <w:r w:rsidRPr="002555D0">
              <w:t>U narednoj godini usmjeriti ćemo se više na kreiranje ponude neformalnih i kratkih, modularnih programa, posebno u dijelu informatičkih, uslužnih djelatnosti</w:t>
            </w:r>
            <w:r>
              <w:t>.</w:t>
            </w:r>
            <w:r w:rsidRPr="002555D0">
              <w:t xml:space="preserve"> Prednost  ovakvih programa je njihova brza prilagodljivost zahtjevima polaznika, kraće vremensko trajanje, a time i niža cijena čime su pristupačniji polazniku, brža i veća fluktuacija polaznika kroz programe, te polaganje ispita po odslušanim modulima. </w:t>
            </w:r>
          </w:p>
          <w:p w:rsidR="00980FEF" w:rsidRPr="002555D0" w:rsidRDefault="00980FEF" w:rsidP="00643F83">
            <w:pPr>
              <w:spacing w:line="240" w:lineRule="auto"/>
              <w:jc w:val="both"/>
            </w:pPr>
            <w:r w:rsidRPr="002555D0">
              <w:rPr>
                <w:shd w:val="clear" w:color="auto" w:fill="FFFFFF" w:themeFill="background1"/>
              </w:rPr>
              <w:t>Tijekom 201</w:t>
            </w:r>
            <w:r>
              <w:rPr>
                <w:shd w:val="clear" w:color="auto" w:fill="FFFFFF" w:themeFill="background1"/>
              </w:rPr>
              <w:t>8</w:t>
            </w:r>
            <w:r w:rsidRPr="002555D0">
              <w:rPr>
                <w:shd w:val="clear" w:color="auto" w:fill="FFFFFF" w:themeFill="background1"/>
              </w:rPr>
              <w:t xml:space="preserve">. </w:t>
            </w:r>
            <w:r>
              <w:rPr>
                <w:shd w:val="clear" w:color="auto" w:fill="FFFFFF" w:themeFill="background1"/>
              </w:rPr>
              <w:t>g</w:t>
            </w:r>
            <w:r w:rsidRPr="002555D0">
              <w:rPr>
                <w:shd w:val="clear" w:color="auto" w:fill="FFFFFF" w:themeFill="background1"/>
              </w:rPr>
              <w:t>odine će se ponuditi upisi u slijedeće programe osposobljavanja i usavršavanja</w:t>
            </w:r>
            <w:r w:rsidRPr="002555D0">
              <w:t xml:space="preserve">: njegovateljica starijih i nemoćnih osoba, gerontodomaćica, asisitent u nastavi, </w:t>
            </w:r>
            <w:r>
              <w:t xml:space="preserve">te po obavljenoj reverifikacijji programi </w:t>
            </w:r>
            <w:r w:rsidRPr="002555D0">
              <w:t>računalni operater, knjigovođa</w:t>
            </w:r>
            <w:r>
              <w:t>,</w:t>
            </w:r>
            <w:r w:rsidRPr="002555D0">
              <w:t xml:space="preserve"> </w:t>
            </w:r>
            <w:r>
              <w:t xml:space="preserve">te </w:t>
            </w:r>
            <w:r w:rsidRPr="002555D0">
              <w:t>ekološki</w:t>
            </w:r>
            <w:r>
              <w:t xml:space="preserve"> </w:t>
            </w:r>
            <w:r w:rsidRPr="002555D0">
              <w:t>polj</w:t>
            </w:r>
            <w:r>
              <w:t>oprivrednik, serviser računala</w:t>
            </w:r>
            <w:r w:rsidRPr="002555D0">
              <w:t xml:space="preserve">.  U suradnji sa vanjskim suradnicima  pripremati će se </w:t>
            </w:r>
            <w:r>
              <w:t>novi</w:t>
            </w:r>
            <w:r w:rsidRPr="002555D0">
              <w:t xml:space="preserve"> programi obrazovanja odraslih prateći </w:t>
            </w:r>
            <w:r>
              <w:t>potrebe lokalnog tržišta rada</w:t>
            </w:r>
            <w:r w:rsidRPr="002555D0">
              <w:t xml:space="preserve">. </w:t>
            </w:r>
          </w:p>
          <w:p w:rsidR="00980FEF" w:rsidRDefault="00980FEF" w:rsidP="00643F83">
            <w:pPr>
              <w:spacing w:line="240" w:lineRule="auto"/>
              <w:jc w:val="both"/>
            </w:pPr>
            <w:r w:rsidRPr="002555D0">
              <w:t xml:space="preserve">Obzirom da je u 2014. </w:t>
            </w:r>
            <w:r>
              <w:t>g</w:t>
            </w:r>
            <w:r w:rsidRPr="002555D0">
              <w:t>odin</w:t>
            </w:r>
            <w:r>
              <w:t>i</w:t>
            </w:r>
            <w:r w:rsidRPr="002555D0">
              <w:t xml:space="preserve"> ukinuto radno mjesto domara u čijem opisu je bilo tehničko održavanje dvorana Hrvatskog doma i tehničke opreme u njima te suradnja sa korisnicima na provedbi tehničke strane programa, POU je ostalo bez potrebne osobe za tehničko rukovođenje dvoranama i tehnikom u velikoj i podrumskoj dvorani. Naglašavam ovdje potrebu da se u 201</w:t>
            </w:r>
            <w:r>
              <w:t>8.</w:t>
            </w:r>
            <w:r w:rsidRPr="002555D0">
              <w:t xml:space="preserve"> </w:t>
            </w:r>
            <w:r>
              <w:t>g</w:t>
            </w:r>
            <w:r w:rsidRPr="002555D0">
              <w:t>odini riješi pitanje stručne osobe koja će skrbiti o tehničkim potrebama u dvoranama</w:t>
            </w:r>
            <w:r>
              <w:t xml:space="preserve">, naročiti sada kada je u dvorana nova rasvjetna oprema i planira se daljnje obnavljanje tehnike, </w:t>
            </w:r>
            <w:r w:rsidRPr="002555D0">
              <w:t xml:space="preserve"> ili da se sukladno   Zaključku Gradskoga vijeća od 27. 8. 2014. provede izuzimanje upravljanje dvoranama iz nadležnosti Učilišta, i to </w:t>
            </w:r>
            <w:r>
              <w:t xml:space="preserve">u </w:t>
            </w:r>
            <w:r w:rsidRPr="002555D0">
              <w:t xml:space="preserve">što skorijem vremenu, obzirom da se do sada to pitanje nije riješilo. </w:t>
            </w:r>
            <w:r>
              <w:t>Obzirom da u financijskom planu za 2018. godinu osim za energente, struja i plin, nisu planirana druga sredstva za funkcionirane dvorana (Velike i Podrumske) upitan je daljnji rad i otvorenost dvorane za odvijanje programa od početka 2018. godine.</w:t>
            </w:r>
          </w:p>
          <w:p w:rsidR="00980FEF" w:rsidRDefault="00980FEF" w:rsidP="00643F83">
            <w:pPr>
              <w:spacing w:line="240" w:lineRule="auto"/>
              <w:jc w:val="both"/>
            </w:pPr>
          </w:p>
          <w:p w:rsidR="00980FEF" w:rsidRPr="007035F5" w:rsidRDefault="00980FEF" w:rsidP="00643F83">
            <w:pPr>
              <w:spacing w:line="240" w:lineRule="auto"/>
              <w:jc w:val="both"/>
            </w:pPr>
          </w:p>
        </w:tc>
      </w:tr>
      <w:tr w:rsidR="00980FEF" w:rsidTr="00643F83">
        <w:trPr>
          <w:trHeight w:val="138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lastRenderedPageBreak/>
              <w:t>"Zakonske i druge podloge na kojima se zasnivaju programi</w:t>
            </w:r>
          </w:p>
        </w:tc>
      </w:tr>
      <w:tr w:rsidR="00980FEF" w:rsidTr="00643F83">
        <w:trPr>
          <w:trHeight w:val="1511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EF" w:rsidRDefault="00980FEF" w:rsidP="00643F83">
            <w:pPr>
              <w:spacing w:after="0" w:line="240" w:lineRule="auto"/>
            </w:pPr>
            <w:r>
              <w:t>Programi se zasnivaju na važećim zakonima koji propisuju reguliraju rad ustanove u svakoj djelatnosti: Zakon o ustanovama, Zakon o pučkim učilištima,  Zakon o obrazovanju odraslih, Zakon o radu, Akt o osnivanju, Statut POU Križevci, Zakon o proračunu, Odluka  o izvršenju Proračuna Grada Križevaca,</w:t>
            </w:r>
          </w:p>
          <w:p w:rsidR="00980FEF" w:rsidRDefault="00980FEF" w:rsidP="00643F83">
            <w:pPr>
              <w:pStyle w:val="ListParagraph"/>
              <w:spacing w:after="0" w:line="240" w:lineRule="auto"/>
            </w:pPr>
            <w:r>
              <w:t>Pravilnik o plaćama i drugim materijalnim pravima zaposlenika POU Križevci</w:t>
            </w:r>
          </w:p>
        </w:tc>
      </w:tr>
      <w:tr w:rsidR="00980FEF" w:rsidTr="00643F83">
        <w:trPr>
          <w:trHeight w:val="138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Usklađeni ciljevi, strategija i programi s dokumentima dugoročnog razvoja</w:t>
            </w:r>
          </w:p>
        </w:tc>
      </w:tr>
      <w:tr w:rsidR="00980FEF" w:rsidTr="00643F83">
        <w:trPr>
          <w:trHeight w:val="1509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spacing w:after="0" w:line="240" w:lineRule="auto"/>
            </w:pPr>
            <w:r>
              <w:t>Programi su usklađeni sa ciljevima relevantnih strateških dokumenata : Strategija grada Križevaca, Županijska strategija  razvoja ljudskih potencijala, Strategija obrazovanja,znanosti i tehnologije RH</w:t>
            </w:r>
          </w:p>
          <w:p w:rsidR="00980FEF" w:rsidRDefault="00980FEF" w:rsidP="00643F83">
            <w:pPr>
              <w:pStyle w:val="ListParagraph"/>
              <w:spacing w:after="0" w:line="240" w:lineRule="auto"/>
            </w:pPr>
          </w:p>
        </w:tc>
      </w:tr>
      <w:tr w:rsidR="00980FEF" w:rsidTr="00643F83">
        <w:trPr>
          <w:trHeight w:val="138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Ishodišta i pokazatelji na kojima se zasnivaju izračuni i ocjene potrebnih sredstava za provođenje programa</w:t>
            </w:r>
          </w:p>
        </w:tc>
      </w:tr>
      <w:tr w:rsidR="00980FEF" w:rsidTr="00643F83">
        <w:trPr>
          <w:trHeight w:val="1659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Pr="001300D8" w:rsidRDefault="00980FEF" w:rsidP="00643F83">
            <w:pPr>
              <w:spacing w:after="0" w:line="240" w:lineRule="auto"/>
            </w:pPr>
            <w:r w:rsidRPr="00645B41">
              <w:t>Planiranje je učinjeno temeljem Smjernica za izradu financijskog plana POU Križevci od strane Odjela za gospodarstvo i financije</w:t>
            </w:r>
          </w:p>
        </w:tc>
      </w:tr>
      <w:tr w:rsidR="00980FEF" w:rsidTr="00643F83">
        <w:trPr>
          <w:trHeight w:val="138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Izvještaj o postignutim ciljevima i rezultatima programa temeljenim na pokazateljima uspješnosti iz nadležnosti proračunskog korisnika u prethodnoj godini</w:t>
            </w:r>
          </w:p>
        </w:tc>
      </w:tr>
      <w:tr w:rsidR="00980FEF" w:rsidTr="00643F83">
        <w:trPr>
          <w:trHeight w:val="2041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pStyle w:val="ListParagraph"/>
              <w:spacing w:after="0" w:line="240" w:lineRule="auto"/>
            </w:pPr>
          </w:p>
          <w:p w:rsidR="00980FEF" w:rsidRDefault="00980FEF" w:rsidP="00643F83">
            <w:pPr>
              <w:pStyle w:val="ListParagraph"/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</w:p>
        </w:tc>
      </w:tr>
      <w:tr w:rsidR="00980FEF" w:rsidTr="00643F83">
        <w:trPr>
          <w:trHeight w:val="138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Program investicijskog održavanja</w:t>
            </w:r>
          </w:p>
        </w:tc>
      </w:tr>
      <w:tr w:rsidR="00980FEF" w:rsidTr="00643F83">
        <w:trPr>
          <w:trHeight w:val="2585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0FEF" w:rsidRPr="004B1919" w:rsidRDefault="00980FEF" w:rsidP="00643F83">
            <w:pPr>
              <w:spacing w:after="0" w:line="240" w:lineRule="auto"/>
            </w:pPr>
          </w:p>
          <w:p w:rsidR="00980FEF" w:rsidRPr="004B1919" w:rsidRDefault="00980FEF" w:rsidP="00643F83">
            <w:pPr>
              <w:spacing w:after="0" w:line="240" w:lineRule="auto"/>
            </w:pPr>
            <w:r w:rsidRPr="004B1919">
              <w:t>U programu i</w:t>
            </w:r>
            <w:r>
              <w:t>nvesticijskog održavanja planirana su sredstva za redovno održavanje opreme i objekta.</w:t>
            </w:r>
          </w:p>
        </w:tc>
      </w:tr>
    </w:tbl>
    <w:p w:rsidR="00980FEF" w:rsidRDefault="00980FEF" w:rsidP="00980FEF"/>
    <w:p w:rsidR="00980FEF" w:rsidRDefault="00980FEF" w:rsidP="00980FEF"/>
    <w:p w:rsidR="00980FEF" w:rsidRDefault="00980FEF" w:rsidP="00980FEF"/>
    <w:p w:rsidR="00980FEF" w:rsidRDefault="00980FEF" w:rsidP="00980FEF"/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00980FEF" w:rsidTr="00643F83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Program kapitalnih ulaganja</w:t>
            </w:r>
          </w:p>
        </w:tc>
      </w:tr>
      <w:tr w:rsidR="00980FEF" w:rsidTr="00643F83">
        <w:trPr>
          <w:trHeight w:val="1941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Pr="00791755" w:rsidRDefault="00980FEF" w:rsidP="00643F83">
            <w:pPr>
              <w:spacing w:after="0" w:line="240" w:lineRule="auto"/>
            </w:pPr>
          </w:p>
          <w:p w:rsidR="00980FEF" w:rsidRPr="00791755" w:rsidRDefault="00980FEF" w:rsidP="00643F83">
            <w:pPr>
              <w:spacing w:after="0" w:line="240" w:lineRule="auto"/>
            </w:pPr>
            <w:r w:rsidRPr="00791755">
              <w:t>U 201</w:t>
            </w:r>
            <w:r>
              <w:t>8</w:t>
            </w:r>
            <w:r w:rsidRPr="00791755">
              <w:t>.</w:t>
            </w:r>
            <w:r>
              <w:t>planira se nastavak ulaganja u opremanje i održavanjeVelike dvorane Hrvatskog doma.</w:t>
            </w:r>
          </w:p>
        </w:tc>
      </w:tr>
      <w:tr w:rsidR="00980FEF" w:rsidTr="00643F83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lastRenderedPageBreak/>
              <w:t>Sažeti financijski plan</w:t>
            </w:r>
          </w:p>
        </w:tc>
      </w:tr>
      <w:tr w:rsidR="00980FEF" w:rsidTr="00643F83">
        <w:trPr>
          <w:trHeight w:val="216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2126"/>
              <w:gridCol w:w="2126"/>
              <w:gridCol w:w="1667"/>
            </w:tblGrid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2324D">
                    <w:rPr>
                      <w:b/>
                    </w:rPr>
                    <w:t>PRIHODI: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 w:rsidRPr="00BA0B46">
                    <w:t>PLAN 201</w:t>
                  </w:r>
                  <w:r>
                    <w:t>7</w:t>
                  </w:r>
                  <w:r w:rsidRPr="00BA0B46"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 w:rsidRPr="0062324D">
                    <w:t>PLAN 201</w:t>
                  </w:r>
                  <w:r>
                    <w:t>8</w:t>
                  </w:r>
                  <w:r w:rsidRPr="0062324D">
                    <w:t>.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 w:rsidRPr="0062324D">
                    <w:t>Index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SREDSTVA GRADA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373.900,00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323.000,00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86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VLASTITA SREDSTVA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140.000,00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80.000,00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57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OSTALI PRIHODI UKUPNO: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185.700,00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115.700,00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62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Županija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40.000,00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5.000,00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 xml:space="preserve">Ministarstvo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140.000,00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Default="00980FEF" w:rsidP="00643F83">
                  <w:pPr>
                    <w:spacing w:after="0" w:line="240" w:lineRule="auto"/>
                    <w:jc w:val="right"/>
                  </w:pPr>
                  <w:r>
                    <w:t>110.000,00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Default="00980FEF" w:rsidP="00643F83">
                  <w:pPr>
                    <w:spacing w:after="0" w:line="240" w:lineRule="auto"/>
                    <w:jc w:val="center"/>
                  </w:pPr>
                  <w:r>
                    <w:t>78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Ostalo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5.700,00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700,00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2324D">
                    <w:rPr>
                      <w:b/>
                    </w:rPr>
                    <w:t>PRIHODI UKUPNO: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699.600,00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518.700,00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52532" w:rsidRDefault="00980FEF" w:rsidP="00643F8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2324D">
                    <w:rPr>
                      <w:b/>
                    </w:rPr>
                    <w:t>RASHODI: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ZA ZAPOSLENE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278.900,00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293.600,00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105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MATERIJALNI RASHODI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171.700,00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94.300,00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55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PROGRAMI UKUPNO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128.000,00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10.000,00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 xml:space="preserve">INVESTICIJSKO ODRŽAVANJE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9.000,00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38.000,00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422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Pr="006049E8" w:rsidRDefault="00980FEF" w:rsidP="00643F83">
                  <w:pPr>
                    <w:spacing w:after="0" w:line="240" w:lineRule="auto"/>
                    <w:jc w:val="both"/>
                  </w:pPr>
                  <w:r w:rsidRPr="006049E8">
                    <w:t>KAPITALNA ULAGANJA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110.000,00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80.000,00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73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OSTALO: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2.000,00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  <w:r>
                    <w:t>2.800,00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  <w:r>
                    <w:t>140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Pr="0062324D" w:rsidRDefault="00980FEF" w:rsidP="00643F8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2324D">
                    <w:rPr>
                      <w:b/>
                    </w:rPr>
                    <w:t>RASHODI UKUPNO: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A0B46" w:rsidRDefault="00980FEF" w:rsidP="00643F83">
                  <w:pPr>
                    <w:spacing w:after="0" w:line="240" w:lineRule="auto"/>
                    <w:jc w:val="right"/>
                  </w:pPr>
                  <w:r>
                    <w:t>699.600,00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52532" w:rsidRDefault="00980FEF" w:rsidP="00643F83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518.7000,00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B52532" w:rsidRDefault="00980FEF" w:rsidP="00643F8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</w:t>
                  </w:r>
                </w:p>
              </w:tc>
            </w:tr>
            <w:tr w:rsidR="00980FEF" w:rsidTr="00643F83">
              <w:tc>
                <w:tcPr>
                  <w:tcW w:w="3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0FEF" w:rsidRDefault="00980FEF" w:rsidP="00643F83">
                  <w:pPr>
                    <w:spacing w:after="0" w:line="240" w:lineRule="auto"/>
                    <w:jc w:val="both"/>
                  </w:pPr>
                  <w:r>
                    <w:t>VIŠAK/MANJAK PRIHODA: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80FEF" w:rsidRPr="0062324D" w:rsidRDefault="00980FEF" w:rsidP="00643F83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  <w:r w:rsidRPr="00BF4091">
              <w:t>PRILOG  I</w:t>
            </w:r>
          </w:p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  <w:r>
              <w:t>PLAN 2018: u rashodima za zaposlene je povećanje zbog povećanja osnovice za izračun plaća tijekom 2017.godine; materijalni troškovi u visini od 26.400,00 kuna, iz gradskog proračuna i odnose se na energente za dvorane; za programe javnog informiranja i kulturnih programa nisu planirana sredstva iz gradskog proračun, vlastita sredstva su planirana u visini 70.000, 00 kuna iz djelatnosti obrazovanja i 10.000, 00 od ulaznica  (kazališne predstave i sl.)</w:t>
            </w:r>
          </w:p>
          <w:p w:rsidR="00980FEF" w:rsidRDefault="00980FEF" w:rsidP="00643F83">
            <w:pPr>
              <w:spacing w:after="0" w:line="240" w:lineRule="auto"/>
            </w:pPr>
          </w:p>
          <w:p w:rsidR="00980FEF" w:rsidRDefault="00980FEF" w:rsidP="00643F83">
            <w:pPr>
              <w:spacing w:after="0" w:line="240" w:lineRule="auto"/>
            </w:pPr>
          </w:p>
        </w:tc>
      </w:tr>
      <w:tr w:rsidR="00980FEF" w:rsidTr="00643F83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Osvrt ravnatelja/ice na cjelokupno poslovanje u narednom razdoblju</w:t>
            </w:r>
          </w:p>
        </w:tc>
      </w:tr>
      <w:tr w:rsidR="00980FEF" w:rsidRPr="001A01C5" w:rsidTr="00643F83">
        <w:trPr>
          <w:trHeight w:val="2125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FEF" w:rsidRDefault="00980FEF" w:rsidP="00643F83">
            <w:pPr>
              <w:spacing w:after="0" w:line="240" w:lineRule="auto"/>
              <w:jc w:val="both"/>
            </w:pPr>
          </w:p>
          <w:p w:rsidR="00980FEF" w:rsidRDefault="00980FEF" w:rsidP="00643F83">
            <w:pPr>
              <w:spacing w:after="0" w:line="240" w:lineRule="auto"/>
              <w:jc w:val="both"/>
            </w:pPr>
            <w:r>
              <w:t>Prijedlog financijskiog plana i plana rada za 2018. godinu POU Križevci je u okviru zadanog limita za izradu istih, i nije bilo mogućnosti povećanja sredstava s pozicije gradskog proračuna. Bez sredstva su djelatnosti organizacije kulturnih programa, kao i materijalni troškovi i rashodi održavanje Velike i Podrumske dvorane Hrvatskog doma, osim za plin i struju. Prijedlog Plana rada POU za 2018. godinu je usklađen sa predloženim financijskim planom.</w:t>
            </w:r>
          </w:p>
          <w:p w:rsidR="00980FEF" w:rsidRPr="0062324D" w:rsidRDefault="00980FEF" w:rsidP="00643F83">
            <w:pPr>
              <w:spacing w:after="0" w:line="240" w:lineRule="auto"/>
              <w:jc w:val="both"/>
            </w:pPr>
          </w:p>
        </w:tc>
      </w:tr>
      <w:tr w:rsidR="00980FEF" w:rsidTr="00643F83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0FEF" w:rsidRDefault="00980FEF" w:rsidP="00643F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t>Ostala obrazloženja i dokumentacija</w:t>
            </w:r>
          </w:p>
        </w:tc>
      </w:tr>
      <w:tr w:rsidR="00980FEF" w:rsidTr="00643F83">
        <w:trPr>
          <w:trHeight w:val="1975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EF" w:rsidRDefault="00980FEF" w:rsidP="00643F83"/>
          <w:p w:rsidR="00980FEF" w:rsidRDefault="00980FEF" w:rsidP="00643F83">
            <w:pPr>
              <w:jc w:val="right"/>
            </w:pPr>
            <w:r>
              <w:t>MELITA HABDIJA</w:t>
            </w:r>
          </w:p>
          <w:p w:rsidR="00980FEF" w:rsidRDefault="00980FEF" w:rsidP="00643F83">
            <w:pPr>
              <w:jc w:val="right"/>
            </w:pPr>
            <w:r>
              <w:t xml:space="preserve">v.d. ravnateljica </w:t>
            </w:r>
          </w:p>
          <w:p w:rsidR="00980FEF" w:rsidRDefault="00980FEF" w:rsidP="00643F83">
            <w:pPr>
              <w:jc w:val="right"/>
            </w:pPr>
            <w:r>
              <w:t xml:space="preserve">  (funkcija, ime i prezime osobe ovlaštene za potpisivanje)</w:t>
            </w:r>
          </w:p>
        </w:tc>
      </w:tr>
    </w:tbl>
    <w:p w:rsidR="00980FEF" w:rsidRDefault="00980FEF" w:rsidP="00980FEF"/>
    <w:p w:rsidR="00980FEF" w:rsidRDefault="00980FEF" w:rsidP="00980FEF"/>
    <w:p w:rsidR="00980FEF" w:rsidRDefault="00980FEF" w:rsidP="00980FEF"/>
    <w:p w:rsidR="00980FEF" w:rsidRDefault="00980FEF" w:rsidP="00980FEF"/>
    <w:p w:rsidR="00980FEF" w:rsidRDefault="00980FEF" w:rsidP="00980FEF"/>
    <w:p w:rsidR="008519BB" w:rsidRDefault="008519BB"/>
    <w:sectPr w:rsidR="008519BB" w:rsidSect="0002741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6B90"/>
    <w:multiLevelType w:val="hybridMultilevel"/>
    <w:tmpl w:val="5D748C90"/>
    <w:lvl w:ilvl="0" w:tplc="ED989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E6AC5"/>
    <w:multiLevelType w:val="hybridMultilevel"/>
    <w:tmpl w:val="D2CEA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EF"/>
    <w:rsid w:val="00031ECF"/>
    <w:rsid w:val="004B2570"/>
    <w:rsid w:val="008519BB"/>
    <w:rsid w:val="00975234"/>
    <w:rsid w:val="00980FEF"/>
    <w:rsid w:val="009F2AE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EF"/>
    <w:pPr>
      <w:widowControl/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0D"/>
  </w:style>
  <w:style w:type="character" w:styleId="Hyperlink">
    <w:name w:val="Hyperlink"/>
    <w:basedOn w:val="DefaultParagraphFont"/>
    <w:uiPriority w:val="99"/>
    <w:semiHidden/>
    <w:unhideWhenUsed/>
    <w:rsid w:val="00980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EF"/>
    <w:pPr>
      <w:widowControl/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0D"/>
  </w:style>
  <w:style w:type="character" w:styleId="Hyperlink">
    <w:name w:val="Hyperlink"/>
    <w:basedOn w:val="DefaultParagraphFont"/>
    <w:uiPriority w:val="99"/>
    <w:semiHidden/>
    <w:unhideWhenUsed/>
    <w:rsid w:val="0098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iliste-krizevci@kc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</Words>
  <Characters>7808</Characters>
  <Application>Microsoft Office Word</Application>
  <DocSecurity>0</DocSecurity>
  <Lines>65</Lines>
  <Paragraphs>18</Paragraphs>
  <ScaleCrop>false</ScaleCrop>
  <Company>Infoing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</cp:revision>
  <dcterms:created xsi:type="dcterms:W3CDTF">2017-12-20T12:54:00Z</dcterms:created>
  <dcterms:modified xsi:type="dcterms:W3CDTF">2017-12-20T12:55:00Z</dcterms:modified>
</cp:coreProperties>
</file>