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EE4F" w14:textId="46D0F125" w:rsidR="004317DD" w:rsidRPr="00A97086" w:rsidRDefault="00325812" w:rsidP="00564821">
      <w:pPr>
        <w:jc w:val="both"/>
        <w:rPr>
          <w:rFonts w:ascii="Arial" w:hAnsi="Arial" w:cs="Arial"/>
          <w:b/>
          <w:color w:val="FF0000"/>
        </w:rPr>
      </w:pPr>
      <w:r w:rsidRPr="00273AEB">
        <w:rPr>
          <w:rFonts w:ascii="Arial" w:hAnsi="Arial" w:cs="Arial"/>
          <w:b/>
        </w:rPr>
        <w:t xml:space="preserve">NAZIV :  </w:t>
      </w:r>
      <w:r w:rsidR="00C7092F" w:rsidRPr="00273AEB">
        <w:rPr>
          <w:rFonts w:ascii="Arial" w:hAnsi="Arial" w:cs="Arial"/>
          <w:b/>
        </w:rPr>
        <w:t xml:space="preserve">PUČKO OTVORENO UČILIŠTE </w:t>
      </w:r>
      <w:r w:rsidR="00A97086" w:rsidRPr="00452466">
        <w:rPr>
          <w:rFonts w:ascii="Arial" w:hAnsi="Arial" w:cs="Arial"/>
          <w:b/>
          <w:color w:val="000000" w:themeColor="text1"/>
        </w:rPr>
        <w:t>KRIŽEVCI</w:t>
      </w:r>
    </w:p>
    <w:p w14:paraId="792D293C" w14:textId="77777777" w:rsidR="00C7092F" w:rsidRPr="00A97086" w:rsidRDefault="00325812" w:rsidP="00564821">
      <w:pPr>
        <w:jc w:val="both"/>
        <w:rPr>
          <w:rFonts w:ascii="Arial" w:hAnsi="Arial" w:cs="Arial"/>
          <w:b/>
          <w:color w:val="000000" w:themeColor="text1"/>
        </w:rPr>
      </w:pPr>
      <w:r w:rsidRPr="00273AEB">
        <w:rPr>
          <w:rFonts w:ascii="Arial" w:hAnsi="Arial" w:cs="Arial"/>
          <w:b/>
        </w:rPr>
        <w:t xml:space="preserve">ADRESA:  </w:t>
      </w:r>
      <w:r w:rsidR="00BB0738" w:rsidRPr="00273AEB">
        <w:rPr>
          <w:rFonts w:ascii="Arial" w:hAnsi="Arial" w:cs="Arial"/>
          <w:b/>
        </w:rPr>
        <w:t>TRG SV. FLORIJANA 14</w:t>
      </w:r>
      <w:r w:rsidR="00991CF0" w:rsidRPr="00273AEB">
        <w:rPr>
          <w:rFonts w:ascii="Arial" w:hAnsi="Arial" w:cs="Arial"/>
          <w:b/>
        </w:rPr>
        <w:t>,</w:t>
      </w:r>
      <w:r w:rsidRPr="00273AEB">
        <w:rPr>
          <w:rFonts w:ascii="Arial" w:hAnsi="Arial" w:cs="Arial"/>
          <w:b/>
        </w:rPr>
        <w:t>48260</w:t>
      </w:r>
      <w:r w:rsidR="00991CF0" w:rsidRPr="00273AEB">
        <w:rPr>
          <w:rFonts w:ascii="Arial" w:hAnsi="Arial" w:cs="Arial"/>
          <w:b/>
        </w:rPr>
        <w:t xml:space="preserve"> </w:t>
      </w:r>
      <w:r w:rsidR="00C7092F" w:rsidRPr="00273AEB">
        <w:rPr>
          <w:rFonts w:ascii="Arial" w:hAnsi="Arial" w:cs="Arial"/>
          <w:b/>
        </w:rPr>
        <w:t>KRIŽEVCI</w:t>
      </w:r>
    </w:p>
    <w:p w14:paraId="5493C926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OIB: 69478236897</w:t>
      </w:r>
    </w:p>
    <w:p w14:paraId="44989570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RAZINA :  21</w:t>
      </w:r>
    </w:p>
    <w:p w14:paraId="2CA9D357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RKP:  </w:t>
      </w:r>
      <w:r w:rsidR="00157506" w:rsidRPr="00273AEB">
        <w:rPr>
          <w:rFonts w:ascii="Arial" w:hAnsi="Arial" w:cs="Arial"/>
          <w:b/>
        </w:rPr>
        <w:t>28039</w:t>
      </w:r>
    </w:p>
    <w:p w14:paraId="0A1D686E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MATIČNI BROJ:  03003426</w:t>
      </w:r>
    </w:p>
    <w:p w14:paraId="253C03CD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ŠIFRA DJELATNOSTI:  </w:t>
      </w:r>
      <w:r w:rsidR="00F673F5" w:rsidRPr="00273AEB">
        <w:rPr>
          <w:rFonts w:ascii="Arial" w:hAnsi="Arial" w:cs="Arial"/>
          <w:b/>
        </w:rPr>
        <w:t>8559</w:t>
      </w:r>
    </w:p>
    <w:p w14:paraId="0A6AA006" w14:textId="217EEA48" w:rsidR="00325812" w:rsidRDefault="0032581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ŠIFRA GRADA/ OPĆINE:  214</w:t>
      </w:r>
    </w:p>
    <w:p w14:paraId="1CEE9477" w14:textId="07C25793" w:rsidR="00C0100C" w:rsidRDefault="00C0100C" w:rsidP="00564821">
      <w:pPr>
        <w:jc w:val="both"/>
        <w:rPr>
          <w:rFonts w:ascii="Arial" w:hAnsi="Arial" w:cs="Arial"/>
          <w:b/>
        </w:rPr>
      </w:pPr>
    </w:p>
    <w:p w14:paraId="3789C3C6" w14:textId="4DEB256E" w:rsidR="00325812" w:rsidRPr="000A4ED1" w:rsidRDefault="00C0100C" w:rsidP="00564821">
      <w:pPr>
        <w:jc w:val="both"/>
        <w:rPr>
          <w:rFonts w:ascii="Arial" w:hAnsi="Arial" w:cs="Arial"/>
          <w:bCs/>
        </w:rPr>
      </w:pPr>
      <w:r w:rsidRPr="000A4ED1">
        <w:rPr>
          <w:rFonts w:ascii="Arial" w:hAnsi="Arial" w:cs="Arial"/>
          <w:bCs/>
        </w:rPr>
        <w:t>Klasa:</w:t>
      </w:r>
      <w:r w:rsidRPr="000A4ED1">
        <w:rPr>
          <w:rFonts w:ascii="Arial" w:hAnsi="Arial" w:cs="Arial"/>
          <w:b/>
        </w:rPr>
        <w:t xml:space="preserve"> </w:t>
      </w:r>
      <w:r w:rsidR="001B696B" w:rsidRPr="000A4ED1">
        <w:rPr>
          <w:rFonts w:ascii="Arial" w:hAnsi="Arial" w:cs="Arial"/>
          <w:bCs/>
        </w:rPr>
        <w:t>400-01/2</w:t>
      </w:r>
      <w:r w:rsidR="00641020" w:rsidRPr="000A4ED1">
        <w:rPr>
          <w:rFonts w:ascii="Arial" w:hAnsi="Arial" w:cs="Arial"/>
          <w:bCs/>
        </w:rPr>
        <w:t>4</w:t>
      </w:r>
      <w:r w:rsidR="001B696B" w:rsidRPr="000A4ED1">
        <w:rPr>
          <w:rFonts w:ascii="Arial" w:hAnsi="Arial" w:cs="Arial"/>
          <w:bCs/>
        </w:rPr>
        <w:t>-01/01</w:t>
      </w:r>
    </w:p>
    <w:p w14:paraId="279F6742" w14:textId="7B3A0A42" w:rsidR="00C7092F" w:rsidRPr="000A4ED1" w:rsidRDefault="00C0100C" w:rsidP="00564821">
      <w:pPr>
        <w:jc w:val="both"/>
        <w:rPr>
          <w:rFonts w:ascii="Arial" w:hAnsi="Arial" w:cs="Arial"/>
        </w:rPr>
      </w:pPr>
      <w:proofErr w:type="spellStart"/>
      <w:r w:rsidRPr="000A4ED1">
        <w:rPr>
          <w:rFonts w:ascii="Arial" w:hAnsi="Arial" w:cs="Arial"/>
        </w:rPr>
        <w:t>Urb</w:t>
      </w:r>
      <w:r w:rsidR="006F1892" w:rsidRPr="000A4ED1">
        <w:rPr>
          <w:rFonts w:ascii="Arial" w:hAnsi="Arial" w:cs="Arial"/>
        </w:rPr>
        <w:t>roj</w:t>
      </w:r>
      <w:proofErr w:type="spellEnd"/>
      <w:r w:rsidR="006F1892" w:rsidRPr="000A4ED1">
        <w:rPr>
          <w:rFonts w:ascii="Arial" w:hAnsi="Arial" w:cs="Arial"/>
        </w:rPr>
        <w:t>:</w:t>
      </w:r>
      <w:r w:rsidR="00B301EA" w:rsidRPr="000A4ED1">
        <w:rPr>
          <w:rFonts w:ascii="Arial" w:hAnsi="Arial" w:cs="Arial"/>
        </w:rPr>
        <w:t xml:space="preserve"> </w:t>
      </w:r>
      <w:r w:rsidR="001B696B" w:rsidRPr="000A4ED1">
        <w:rPr>
          <w:rFonts w:ascii="Arial" w:hAnsi="Arial" w:cs="Arial"/>
        </w:rPr>
        <w:t>2137-81/2</w:t>
      </w:r>
      <w:r w:rsidR="000A4ED1" w:rsidRPr="000A4ED1">
        <w:rPr>
          <w:rFonts w:ascii="Arial" w:hAnsi="Arial" w:cs="Arial"/>
        </w:rPr>
        <w:t>4</w:t>
      </w:r>
      <w:r w:rsidR="001B696B" w:rsidRPr="000A4ED1">
        <w:rPr>
          <w:rFonts w:ascii="Arial" w:hAnsi="Arial" w:cs="Arial"/>
        </w:rPr>
        <w:t>-01</w:t>
      </w:r>
      <w:r w:rsidR="000A4ED1" w:rsidRPr="000A4ED1">
        <w:rPr>
          <w:rFonts w:ascii="Arial" w:hAnsi="Arial" w:cs="Arial"/>
        </w:rPr>
        <w:t>/001</w:t>
      </w:r>
    </w:p>
    <w:p w14:paraId="03E175A8" w14:textId="1B69437F" w:rsidR="00C0100C" w:rsidRPr="00273AEB" w:rsidRDefault="00C0100C" w:rsidP="00564821">
      <w:pPr>
        <w:jc w:val="both"/>
        <w:rPr>
          <w:rFonts w:ascii="Arial" w:hAnsi="Arial" w:cs="Arial"/>
        </w:rPr>
      </w:pPr>
      <w:r w:rsidRPr="000A4ED1">
        <w:rPr>
          <w:rFonts w:ascii="Arial" w:hAnsi="Arial" w:cs="Arial"/>
        </w:rPr>
        <w:t>Križevci, 2</w:t>
      </w:r>
      <w:r w:rsidR="004F2147" w:rsidRPr="000A4ED1">
        <w:rPr>
          <w:rFonts w:ascii="Arial" w:hAnsi="Arial" w:cs="Arial"/>
        </w:rPr>
        <w:t>9</w:t>
      </w:r>
      <w:r w:rsidRPr="000A4ED1">
        <w:rPr>
          <w:rFonts w:ascii="Arial" w:hAnsi="Arial" w:cs="Arial"/>
        </w:rPr>
        <w:t>.01.202</w:t>
      </w:r>
      <w:r w:rsidR="004F2147" w:rsidRPr="000A4ED1">
        <w:rPr>
          <w:rFonts w:ascii="Arial" w:hAnsi="Arial" w:cs="Arial"/>
        </w:rPr>
        <w:t>4</w:t>
      </w:r>
      <w:r w:rsidRPr="000A4ED1">
        <w:rPr>
          <w:rFonts w:ascii="Arial" w:hAnsi="Arial" w:cs="Arial"/>
        </w:rPr>
        <w:t>.</w:t>
      </w:r>
    </w:p>
    <w:p w14:paraId="29490BAC" w14:textId="77777777" w:rsidR="00991CF0" w:rsidRPr="00273AEB" w:rsidRDefault="00991CF0" w:rsidP="00564821">
      <w:pPr>
        <w:jc w:val="both"/>
        <w:rPr>
          <w:rFonts w:ascii="Arial" w:hAnsi="Arial" w:cs="Arial"/>
        </w:rPr>
      </w:pPr>
    </w:p>
    <w:p w14:paraId="30AC5506" w14:textId="5A670A3F" w:rsidR="00130F05" w:rsidRPr="00273AEB" w:rsidRDefault="00074217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130F05" w:rsidRPr="00273AEB">
        <w:rPr>
          <w:rFonts w:ascii="Arial" w:hAnsi="Arial" w:cs="Arial"/>
          <w:b/>
          <w:bCs/>
        </w:rPr>
        <w:t>BILJEŠKE</w:t>
      </w:r>
      <w:r w:rsidR="00911352">
        <w:rPr>
          <w:rFonts w:ascii="Arial" w:hAnsi="Arial" w:cs="Arial"/>
          <w:b/>
          <w:bCs/>
        </w:rPr>
        <w:t xml:space="preserve"> </w:t>
      </w:r>
      <w:r w:rsidR="00130F05" w:rsidRPr="00273AEB">
        <w:rPr>
          <w:rFonts w:ascii="Arial" w:hAnsi="Arial" w:cs="Arial"/>
          <w:b/>
          <w:bCs/>
        </w:rPr>
        <w:t>UZ FINANCIJSKE IZVJEŠTAJE</w:t>
      </w:r>
    </w:p>
    <w:p w14:paraId="39CB70CF" w14:textId="1E3D6193" w:rsidR="00270DCC" w:rsidRPr="00273AEB" w:rsidRDefault="0007421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</w:t>
      </w:r>
      <w:r w:rsidR="00130F05" w:rsidRPr="00273AEB">
        <w:rPr>
          <w:rFonts w:ascii="Arial" w:hAnsi="Arial" w:cs="Arial"/>
          <w:b/>
          <w:bCs/>
        </w:rPr>
        <w:t>za razdoblje od 01. siječnja do 31. prosinca 202</w:t>
      </w:r>
      <w:r w:rsidR="004F2147">
        <w:rPr>
          <w:rFonts w:ascii="Arial" w:hAnsi="Arial" w:cs="Arial"/>
          <w:b/>
          <w:bCs/>
        </w:rPr>
        <w:t>3</w:t>
      </w:r>
      <w:r w:rsidR="00130F05" w:rsidRPr="00273AEB">
        <w:rPr>
          <w:rFonts w:ascii="Arial" w:hAnsi="Arial" w:cs="Arial"/>
          <w:b/>
          <w:bCs/>
        </w:rPr>
        <w:t>. godine</w:t>
      </w:r>
    </w:p>
    <w:p w14:paraId="4CB375C9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</w:p>
    <w:p w14:paraId="1BBA8FE4" w14:textId="4EFFA72E" w:rsidR="00590331" w:rsidRPr="00273AEB" w:rsidRDefault="00590331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</w:t>
      </w:r>
      <w:r w:rsidR="00452466">
        <w:rPr>
          <w:rFonts w:ascii="Arial" w:hAnsi="Arial" w:cs="Arial"/>
        </w:rPr>
        <w:t xml:space="preserve"> Križevci</w:t>
      </w:r>
      <w:r w:rsidRPr="00273AEB">
        <w:rPr>
          <w:rFonts w:ascii="Arial" w:hAnsi="Arial" w:cs="Arial"/>
        </w:rPr>
        <w:t xml:space="preserve"> pravni je slijednik Narodnog sveučilišta Križevci.</w:t>
      </w:r>
    </w:p>
    <w:p w14:paraId="23374277" w14:textId="4C88396E" w:rsidR="00590331" w:rsidRPr="00273AEB" w:rsidRDefault="00590331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Djelatnosti ustanove: organiziranje kazališnih, glazbenih, izložbenih i drugih kulturnih događanja, obrazovanje odraslih, djelatnost amaterskog kazališta, organiziranje i promicanje svih oblika kulturnog i umjetničkog stvaralaštva i javnog info</w:t>
      </w:r>
      <w:r w:rsidR="00865532" w:rsidRPr="00273AEB">
        <w:rPr>
          <w:rFonts w:ascii="Arial" w:hAnsi="Arial" w:cs="Arial"/>
        </w:rPr>
        <w:t xml:space="preserve">rmiranja, izdavačka djelatnost. </w:t>
      </w:r>
      <w:r w:rsidR="00BB2695">
        <w:rPr>
          <w:rFonts w:ascii="Arial" w:hAnsi="Arial" w:cs="Arial"/>
        </w:rPr>
        <w:t xml:space="preserve">Odgovorna osoba u </w:t>
      </w:r>
      <w:r w:rsidR="00865532" w:rsidRPr="00273AEB">
        <w:rPr>
          <w:rFonts w:ascii="Arial" w:hAnsi="Arial" w:cs="Arial"/>
        </w:rPr>
        <w:t>Ustanov</w:t>
      </w:r>
      <w:r w:rsidR="00BB2695">
        <w:rPr>
          <w:rFonts w:ascii="Arial" w:hAnsi="Arial" w:cs="Arial"/>
        </w:rPr>
        <w:t>i</w:t>
      </w:r>
      <w:r w:rsidR="00865532" w:rsidRPr="00273AEB">
        <w:rPr>
          <w:rFonts w:ascii="Arial" w:hAnsi="Arial" w:cs="Arial"/>
        </w:rPr>
        <w:t xml:space="preserve"> od 04.02.2019. je ravnateljica Željka Šunjić, prof.</w:t>
      </w:r>
      <w:r w:rsidR="006B2125">
        <w:rPr>
          <w:rFonts w:ascii="Arial" w:hAnsi="Arial" w:cs="Arial"/>
        </w:rPr>
        <w:t xml:space="preserve"> </w:t>
      </w:r>
      <w:r w:rsidR="0018093E">
        <w:rPr>
          <w:rFonts w:ascii="Arial" w:hAnsi="Arial" w:cs="Arial"/>
        </w:rPr>
        <w:t>T</w:t>
      </w:r>
      <w:r w:rsidR="00AC1820">
        <w:rPr>
          <w:rFonts w:ascii="Arial" w:hAnsi="Arial" w:cs="Arial"/>
        </w:rPr>
        <w:t>ije</w:t>
      </w:r>
      <w:r w:rsidR="0018093E">
        <w:rPr>
          <w:rFonts w:ascii="Arial" w:hAnsi="Arial" w:cs="Arial"/>
        </w:rPr>
        <w:t xml:space="preserve">kom mjeseca svibnja 2021. godine počelo je s radom </w:t>
      </w:r>
      <w:r w:rsidR="00BA3B56">
        <w:rPr>
          <w:rFonts w:ascii="Arial" w:hAnsi="Arial" w:cs="Arial"/>
        </w:rPr>
        <w:t>K</w:t>
      </w:r>
      <w:r w:rsidR="0018093E">
        <w:rPr>
          <w:rFonts w:ascii="Arial" w:hAnsi="Arial" w:cs="Arial"/>
        </w:rPr>
        <w:t xml:space="preserve">ino Križevci, za čiji rad je zaduženo Pučko </w:t>
      </w:r>
      <w:r w:rsidR="00AC1820">
        <w:rPr>
          <w:rFonts w:ascii="Arial" w:hAnsi="Arial" w:cs="Arial"/>
        </w:rPr>
        <w:t xml:space="preserve">otvoreno </w:t>
      </w:r>
      <w:r w:rsidR="0018093E">
        <w:rPr>
          <w:rFonts w:ascii="Arial" w:hAnsi="Arial" w:cs="Arial"/>
        </w:rPr>
        <w:t xml:space="preserve">učilište, jer tu djelatnost </w:t>
      </w:r>
      <w:r w:rsidR="007B608E">
        <w:rPr>
          <w:rFonts w:ascii="Arial" w:hAnsi="Arial" w:cs="Arial"/>
        </w:rPr>
        <w:t>ima registriranu.</w:t>
      </w:r>
    </w:p>
    <w:p w14:paraId="19FD9883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</w:p>
    <w:p w14:paraId="30D0A5CB" w14:textId="644EC407" w:rsidR="003C41CA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1A2056" w:rsidRPr="00273AEB">
        <w:rPr>
          <w:rFonts w:ascii="Arial" w:hAnsi="Arial" w:cs="Arial"/>
          <w:b/>
        </w:rPr>
        <w:t>OBRAZAC PR-RAS</w:t>
      </w:r>
    </w:p>
    <w:p w14:paraId="3CC33AAD" w14:textId="5D5EA00E" w:rsidR="00911352" w:rsidRPr="00273AEB" w:rsidRDefault="003540D8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911352">
        <w:rPr>
          <w:rFonts w:ascii="Arial" w:hAnsi="Arial" w:cs="Arial"/>
          <w:b/>
        </w:rPr>
        <w:t>Izvještaj o prihodima i rashodima, primicima i izdacima</w:t>
      </w:r>
    </w:p>
    <w:p w14:paraId="4F752C2B" w14:textId="77777777" w:rsidR="004638E3" w:rsidRPr="00273AEB" w:rsidRDefault="004638E3" w:rsidP="00564821">
      <w:pPr>
        <w:jc w:val="both"/>
        <w:rPr>
          <w:rFonts w:ascii="Arial" w:hAnsi="Arial" w:cs="Arial"/>
          <w:b/>
        </w:rPr>
      </w:pPr>
    </w:p>
    <w:p w14:paraId="5D2C5C24" w14:textId="77777777" w:rsidR="004638E3" w:rsidRPr="00273AEB" w:rsidRDefault="004638E3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</w:p>
    <w:p w14:paraId="09D7A7D9" w14:textId="6E8D942C" w:rsidR="00086D01" w:rsidRPr="00273AEB" w:rsidRDefault="00072BD7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636</w:t>
      </w:r>
      <w:r w:rsidR="00086D01" w:rsidRPr="00273AEB">
        <w:rPr>
          <w:rFonts w:ascii="Arial" w:hAnsi="Arial" w:cs="Arial"/>
          <w:b/>
        </w:rPr>
        <w:t>-</w:t>
      </w:r>
      <w:r w:rsidR="00A37E21" w:rsidRPr="00273AEB">
        <w:rPr>
          <w:rFonts w:ascii="Arial" w:hAnsi="Arial" w:cs="Arial"/>
          <w:b/>
        </w:rPr>
        <w:t xml:space="preserve"> </w:t>
      </w:r>
      <w:r w:rsidR="00086D01" w:rsidRPr="00273AEB">
        <w:rPr>
          <w:rFonts w:ascii="Arial" w:hAnsi="Arial" w:cs="Arial"/>
          <w:b/>
        </w:rPr>
        <w:t>Pomoći proračunskim korisnicima iz proračuna koji im nije nadležan</w:t>
      </w:r>
      <w:r w:rsidR="00086D01" w:rsidRPr="00273AEB">
        <w:rPr>
          <w:rFonts w:ascii="Arial" w:hAnsi="Arial" w:cs="Arial"/>
        </w:rPr>
        <w:t xml:space="preserve"> </w:t>
      </w:r>
    </w:p>
    <w:p w14:paraId="3C6748DE" w14:textId="2727ED3F" w:rsidR="00D35263" w:rsidRPr="00452466" w:rsidRDefault="00D35263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Sredstva </w:t>
      </w:r>
      <w:r w:rsidR="004262C8">
        <w:rPr>
          <w:rFonts w:ascii="Arial" w:hAnsi="Arial" w:cs="Arial"/>
        </w:rPr>
        <w:t xml:space="preserve">tekuće pomoći </w:t>
      </w:r>
      <w:r w:rsidRPr="00273AEB">
        <w:rPr>
          <w:rFonts w:ascii="Arial" w:hAnsi="Arial" w:cs="Arial"/>
        </w:rPr>
        <w:t xml:space="preserve">iz proračuna koji </w:t>
      </w:r>
      <w:r w:rsidR="00CE6AF8">
        <w:rPr>
          <w:rFonts w:ascii="Arial" w:hAnsi="Arial" w:cs="Arial"/>
        </w:rPr>
        <w:t>Učilištu</w:t>
      </w:r>
      <w:r w:rsidRPr="00452466">
        <w:rPr>
          <w:rFonts w:ascii="Arial" w:hAnsi="Arial" w:cs="Arial"/>
        </w:rPr>
        <w:t xml:space="preserve"> nije nadležan, odnos</w:t>
      </w:r>
      <w:r w:rsidR="001A418B" w:rsidRPr="00452466">
        <w:rPr>
          <w:rFonts w:ascii="Arial" w:hAnsi="Arial" w:cs="Arial"/>
        </w:rPr>
        <w:t>e</w:t>
      </w:r>
      <w:r w:rsidRPr="00452466">
        <w:rPr>
          <w:rFonts w:ascii="Arial" w:hAnsi="Arial" w:cs="Arial"/>
        </w:rPr>
        <w:t xml:space="preserve"> se na pomoć </w:t>
      </w:r>
      <w:r w:rsidR="00A97086" w:rsidRPr="00452466">
        <w:rPr>
          <w:rFonts w:ascii="Arial" w:hAnsi="Arial" w:cs="Arial"/>
        </w:rPr>
        <w:t>dobivenu</w:t>
      </w:r>
      <w:r w:rsidR="00086D01" w:rsidRPr="00452466">
        <w:rPr>
          <w:rFonts w:ascii="Arial" w:hAnsi="Arial" w:cs="Arial"/>
        </w:rPr>
        <w:t xml:space="preserve"> od Ministarstva kulture </w:t>
      </w:r>
      <w:r w:rsidR="00072BD7">
        <w:rPr>
          <w:rFonts w:ascii="Arial" w:hAnsi="Arial" w:cs="Arial"/>
        </w:rPr>
        <w:t xml:space="preserve">i medija </w:t>
      </w:r>
      <w:r w:rsidR="00030B0C" w:rsidRPr="00452466">
        <w:rPr>
          <w:rFonts w:ascii="Arial" w:hAnsi="Arial" w:cs="Arial"/>
        </w:rPr>
        <w:t>u iznosu od</w:t>
      </w:r>
      <w:r w:rsidR="007B608E" w:rsidRPr="00452466">
        <w:rPr>
          <w:rFonts w:ascii="Arial" w:hAnsi="Arial" w:cs="Arial"/>
        </w:rPr>
        <w:t xml:space="preserve"> </w:t>
      </w:r>
      <w:r w:rsidR="00725429">
        <w:rPr>
          <w:rFonts w:ascii="Arial" w:hAnsi="Arial" w:cs="Arial"/>
        </w:rPr>
        <w:t>53.816,84 eura</w:t>
      </w:r>
      <w:r w:rsidR="00227E5E">
        <w:rPr>
          <w:rFonts w:ascii="Arial" w:hAnsi="Arial" w:cs="Arial"/>
        </w:rPr>
        <w:t>. Sredstva</w:t>
      </w:r>
      <w:r w:rsidR="00E82280">
        <w:rPr>
          <w:rFonts w:ascii="Arial" w:hAnsi="Arial" w:cs="Arial"/>
        </w:rPr>
        <w:t xml:space="preserve"> u iznosu od </w:t>
      </w:r>
      <w:r w:rsidR="00512C3A">
        <w:rPr>
          <w:rFonts w:ascii="Arial" w:hAnsi="Arial" w:cs="Arial"/>
        </w:rPr>
        <w:t>13.272,28 eura</w:t>
      </w:r>
      <w:r w:rsidR="00227E5E">
        <w:rPr>
          <w:rFonts w:ascii="Arial" w:hAnsi="Arial" w:cs="Arial"/>
        </w:rPr>
        <w:t xml:space="preserve"> namijenjena</w:t>
      </w:r>
      <w:r w:rsidR="00512C3A">
        <w:rPr>
          <w:rFonts w:ascii="Arial" w:hAnsi="Arial" w:cs="Arial"/>
        </w:rPr>
        <w:t xml:space="preserve"> su </w:t>
      </w:r>
      <w:r w:rsidR="00227E5E">
        <w:rPr>
          <w:rFonts w:ascii="Arial" w:hAnsi="Arial" w:cs="Arial"/>
        </w:rPr>
        <w:t xml:space="preserve">za </w:t>
      </w:r>
      <w:r w:rsidR="00512C3A">
        <w:rPr>
          <w:rFonts w:ascii="Arial" w:hAnsi="Arial" w:cs="Arial"/>
        </w:rPr>
        <w:t>građevinsko</w:t>
      </w:r>
      <w:r w:rsidR="00147FFA">
        <w:rPr>
          <w:rFonts w:ascii="Arial" w:hAnsi="Arial" w:cs="Arial"/>
        </w:rPr>
        <w:t xml:space="preserve"> obrtničke radove u podrumskoj dvorani Hrvatskog doma</w:t>
      </w:r>
      <w:r w:rsidR="00C03410">
        <w:rPr>
          <w:rFonts w:ascii="Arial" w:hAnsi="Arial" w:cs="Arial"/>
        </w:rPr>
        <w:t xml:space="preserve"> i evidentirane su kao </w:t>
      </w:r>
      <w:r w:rsidR="00FA77CF">
        <w:rPr>
          <w:rFonts w:ascii="Arial" w:hAnsi="Arial" w:cs="Arial"/>
        </w:rPr>
        <w:t xml:space="preserve">tekuće pomoći iz proračuna koji </w:t>
      </w:r>
      <w:r w:rsidR="003A2185">
        <w:rPr>
          <w:rFonts w:ascii="Arial" w:hAnsi="Arial" w:cs="Arial"/>
        </w:rPr>
        <w:t>U</w:t>
      </w:r>
      <w:r w:rsidR="00FA77CF">
        <w:rPr>
          <w:rFonts w:ascii="Arial" w:hAnsi="Arial" w:cs="Arial"/>
        </w:rPr>
        <w:t>stanovi nije nadležan</w:t>
      </w:r>
      <w:r w:rsidR="00DE3611">
        <w:rPr>
          <w:rFonts w:ascii="Arial" w:hAnsi="Arial" w:cs="Arial"/>
        </w:rPr>
        <w:t xml:space="preserve">, a sredstva u iznosu od 39.816,84 eura namijenjena su za </w:t>
      </w:r>
      <w:r w:rsidR="005D585B">
        <w:rPr>
          <w:rFonts w:ascii="Arial" w:hAnsi="Arial" w:cs="Arial"/>
        </w:rPr>
        <w:t>nabavu prijenosnog suvremenog kina</w:t>
      </w:r>
      <w:r w:rsidR="00710E4D">
        <w:rPr>
          <w:rFonts w:ascii="Arial" w:hAnsi="Arial" w:cs="Arial"/>
        </w:rPr>
        <w:t xml:space="preserve"> za veliku dvoranu Hrvatskog doma i evidentirana su kao kapitalne pomoći</w:t>
      </w:r>
      <w:r w:rsidR="000266B1">
        <w:rPr>
          <w:rFonts w:ascii="Arial" w:hAnsi="Arial" w:cs="Arial"/>
        </w:rPr>
        <w:t xml:space="preserve"> kojih u prošlom izvještajnom razdoblju nije bilo.</w:t>
      </w:r>
    </w:p>
    <w:p w14:paraId="616351E0" w14:textId="77777777" w:rsidR="00DA7B62" w:rsidRPr="00452466" w:rsidRDefault="00DA7B62" w:rsidP="00564821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Bilješka br.2</w:t>
      </w:r>
    </w:p>
    <w:p w14:paraId="495D05D6" w14:textId="002077DE" w:rsidR="00086D01" w:rsidRPr="00452466" w:rsidRDefault="002E4057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661</w:t>
      </w:r>
      <w:r w:rsidR="00086D01" w:rsidRPr="00452466">
        <w:rPr>
          <w:rFonts w:ascii="Arial" w:hAnsi="Arial" w:cs="Arial"/>
          <w:b/>
        </w:rPr>
        <w:t>- Prihodi od prodaje proizvoda i robe te pruženih usluga</w:t>
      </w:r>
      <w:r w:rsidR="00086D01" w:rsidRPr="00452466">
        <w:rPr>
          <w:rFonts w:ascii="Arial" w:hAnsi="Arial" w:cs="Arial"/>
        </w:rPr>
        <w:t xml:space="preserve"> </w:t>
      </w:r>
    </w:p>
    <w:p w14:paraId="51167126" w14:textId="2C21D1A5" w:rsidR="0026140C" w:rsidRPr="00452466" w:rsidRDefault="00086D01" w:rsidP="00564821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Na ovoj poziciji su </w:t>
      </w:r>
      <w:r w:rsidR="00273AEB" w:rsidRPr="00452466">
        <w:rPr>
          <w:rFonts w:ascii="Arial" w:hAnsi="Arial" w:cs="Arial"/>
        </w:rPr>
        <w:t>evidentirani</w:t>
      </w:r>
      <w:r w:rsidRPr="00452466">
        <w:rPr>
          <w:rFonts w:ascii="Arial" w:hAnsi="Arial" w:cs="Arial"/>
        </w:rPr>
        <w:t xml:space="preserve"> prihodi koje </w:t>
      </w:r>
      <w:r w:rsidR="00CE6AF8">
        <w:rPr>
          <w:rFonts w:ascii="Arial" w:hAnsi="Arial" w:cs="Arial"/>
        </w:rPr>
        <w:t>Učilište</w:t>
      </w:r>
      <w:r w:rsidRPr="00452466">
        <w:rPr>
          <w:rFonts w:ascii="Arial" w:hAnsi="Arial" w:cs="Arial"/>
        </w:rPr>
        <w:t xml:space="preserve"> </w:t>
      </w:r>
      <w:r w:rsidR="00452466" w:rsidRPr="00452466">
        <w:rPr>
          <w:rFonts w:ascii="Arial" w:hAnsi="Arial" w:cs="Arial"/>
        </w:rPr>
        <w:t xml:space="preserve">ostvaruje </w:t>
      </w:r>
      <w:r w:rsidRPr="00452466">
        <w:rPr>
          <w:rFonts w:ascii="Arial" w:hAnsi="Arial" w:cs="Arial"/>
        </w:rPr>
        <w:t xml:space="preserve">na tržištu. </w:t>
      </w:r>
      <w:r w:rsidR="0026140C" w:rsidRPr="00452466">
        <w:rPr>
          <w:rFonts w:ascii="Arial" w:hAnsi="Arial" w:cs="Arial"/>
        </w:rPr>
        <w:t>Prihod</w:t>
      </w:r>
      <w:r w:rsidR="00CE6AF8">
        <w:rPr>
          <w:rFonts w:ascii="Arial" w:hAnsi="Arial" w:cs="Arial"/>
        </w:rPr>
        <w:t>i</w:t>
      </w:r>
      <w:r w:rsidR="0026140C" w:rsidRPr="00452466">
        <w:rPr>
          <w:rFonts w:ascii="Arial" w:hAnsi="Arial" w:cs="Arial"/>
        </w:rPr>
        <w:t xml:space="preserve"> od usluga na tržištu ostvareni su </w:t>
      </w:r>
      <w:r w:rsidR="00AC02AF">
        <w:rPr>
          <w:rFonts w:ascii="Arial" w:hAnsi="Arial" w:cs="Arial"/>
        </w:rPr>
        <w:t>za 18,7%</w:t>
      </w:r>
      <w:r w:rsidR="0026140C" w:rsidRPr="00452466">
        <w:rPr>
          <w:rFonts w:ascii="Arial" w:hAnsi="Arial" w:cs="Arial"/>
        </w:rPr>
        <w:t xml:space="preserve"> </w:t>
      </w:r>
      <w:r w:rsidR="0053248A">
        <w:rPr>
          <w:rFonts w:ascii="Arial" w:hAnsi="Arial" w:cs="Arial"/>
        </w:rPr>
        <w:t xml:space="preserve"> više u odnosu na prošlu godinu </w:t>
      </w:r>
      <w:r w:rsidR="0026140C" w:rsidRPr="00452466">
        <w:rPr>
          <w:rFonts w:ascii="Arial" w:hAnsi="Arial" w:cs="Arial"/>
        </w:rPr>
        <w:t xml:space="preserve">i iznose ukupno </w:t>
      </w:r>
      <w:r w:rsidR="00143D6F">
        <w:rPr>
          <w:rFonts w:ascii="Arial" w:hAnsi="Arial" w:cs="Arial"/>
        </w:rPr>
        <w:t>61.969,22 eura</w:t>
      </w:r>
      <w:r w:rsidR="00FD7443">
        <w:rPr>
          <w:rFonts w:ascii="Arial" w:hAnsi="Arial" w:cs="Arial"/>
        </w:rPr>
        <w:t>.</w:t>
      </w:r>
    </w:p>
    <w:p w14:paraId="17212BCD" w14:textId="3821CC4C" w:rsidR="002E4057" w:rsidRDefault="0026140C" w:rsidP="00564821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>T</w:t>
      </w:r>
      <w:r w:rsidR="005714C1" w:rsidRPr="00452466">
        <w:rPr>
          <w:rFonts w:ascii="Arial" w:hAnsi="Arial" w:cs="Arial"/>
        </w:rPr>
        <w:t xml:space="preserve">o </w:t>
      </w:r>
      <w:r w:rsidR="004F717C">
        <w:rPr>
          <w:rFonts w:ascii="Arial" w:hAnsi="Arial" w:cs="Arial"/>
        </w:rPr>
        <w:t>je prihod od</w:t>
      </w:r>
      <w:r w:rsidR="005714C1" w:rsidRPr="00452466">
        <w:rPr>
          <w:rFonts w:ascii="Arial" w:hAnsi="Arial" w:cs="Arial"/>
        </w:rPr>
        <w:t xml:space="preserve"> š</w:t>
      </w:r>
      <w:r w:rsidR="00086D01" w:rsidRPr="00452466">
        <w:rPr>
          <w:rFonts w:ascii="Arial" w:hAnsi="Arial" w:cs="Arial"/>
        </w:rPr>
        <w:t>kolarin</w:t>
      </w:r>
      <w:r w:rsidR="004F717C">
        <w:rPr>
          <w:rFonts w:ascii="Arial" w:hAnsi="Arial" w:cs="Arial"/>
        </w:rPr>
        <w:t>a</w:t>
      </w:r>
      <w:r w:rsidR="00086D01" w:rsidRPr="00452466">
        <w:rPr>
          <w:rFonts w:ascii="Arial" w:hAnsi="Arial" w:cs="Arial"/>
        </w:rPr>
        <w:t xml:space="preserve"> za obrazovanje odraslih</w:t>
      </w:r>
      <w:r w:rsidR="008D7435">
        <w:rPr>
          <w:rFonts w:ascii="Arial" w:hAnsi="Arial" w:cs="Arial"/>
        </w:rPr>
        <w:t xml:space="preserve"> za verificirane i neverificirane programe</w:t>
      </w:r>
      <w:r w:rsidR="00CA7F08">
        <w:rPr>
          <w:rFonts w:ascii="Arial" w:hAnsi="Arial" w:cs="Arial"/>
        </w:rPr>
        <w:t xml:space="preserve"> u </w:t>
      </w:r>
      <w:r w:rsidR="00C8780B">
        <w:rPr>
          <w:rFonts w:ascii="Arial" w:hAnsi="Arial" w:cs="Arial"/>
        </w:rPr>
        <w:t>iznos</w:t>
      </w:r>
      <w:r w:rsidR="00CA7F08">
        <w:rPr>
          <w:rFonts w:ascii="Arial" w:hAnsi="Arial" w:cs="Arial"/>
        </w:rPr>
        <w:t>u od 24.523,22 eura</w:t>
      </w:r>
      <w:r w:rsidR="00A1635A">
        <w:rPr>
          <w:rFonts w:ascii="Arial" w:hAnsi="Arial" w:cs="Arial"/>
        </w:rPr>
        <w:t>.</w:t>
      </w:r>
      <w:r w:rsidRPr="00452466">
        <w:rPr>
          <w:rFonts w:ascii="Arial" w:hAnsi="Arial" w:cs="Arial"/>
        </w:rPr>
        <w:t xml:space="preserve"> </w:t>
      </w:r>
    </w:p>
    <w:p w14:paraId="10B5BC82" w14:textId="654F6853" w:rsidR="00086D01" w:rsidRDefault="00A1635A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14C1">
        <w:rPr>
          <w:rFonts w:ascii="Arial" w:hAnsi="Arial" w:cs="Arial"/>
        </w:rPr>
        <w:t xml:space="preserve">rihod od ulaznica za </w:t>
      </w:r>
      <w:r w:rsidR="009E3D1B">
        <w:rPr>
          <w:rFonts w:ascii="Arial" w:hAnsi="Arial" w:cs="Arial"/>
        </w:rPr>
        <w:t>K</w:t>
      </w:r>
      <w:r w:rsidR="005714C1">
        <w:rPr>
          <w:rFonts w:ascii="Arial" w:hAnsi="Arial" w:cs="Arial"/>
        </w:rPr>
        <w:t xml:space="preserve">ino </w:t>
      </w:r>
      <w:r w:rsidR="009E3D1B">
        <w:rPr>
          <w:rFonts w:ascii="Arial" w:hAnsi="Arial" w:cs="Arial"/>
        </w:rPr>
        <w:t xml:space="preserve">Križevci </w:t>
      </w:r>
      <w:r w:rsidR="005714C1">
        <w:rPr>
          <w:rFonts w:ascii="Arial" w:hAnsi="Arial" w:cs="Arial"/>
        </w:rPr>
        <w:t>koje je počelo s radom od svibnja 2021. godine</w:t>
      </w:r>
      <w:r w:rsidR="00026A2E">
        <w:rPr>
          <w:rFonts w:ascii="Arial" w:hAnsi="Arial" w:cs="Arial"/>
        </w:rPr>
        <w:t xml:space="preserve">, </w:t>
      </w:r>
      <w:r w:rsidR="00DE18A9">
        <w:rPr>
          <w:rFonts w:ascii="Arial" w:hAnsi="Arial" w:cs="Arial"/>
        </w:rPr>
        <w:t xml:space="preserve">a </w:t>
      </w:r>
      <w:r w:rsidR="00026A2E">
        <w:rPr>
          <w:rFonts w:ascii="Arial" w:hAnsi="Arial" w:cs="Arial"/>
        </w:rPr>
        <w:t>2023. godine iznosi 34.241,00 eura</w:t>
      </w:r>
      <w:r w:rsidR="00EE3393">
        <w:rPr>
          <w:rFonts w:ascii="Arial" w:hAnsi="Arial" w:cs="Arial"/>
        </w:rPr>
        <w:t>.</w:t>
      </w:r>
    </w:p>
    <w:p w14:paraId="212727D2" w14:textId="1476C70F" w:rsidR="00273AEB" w:rsidRDefault="00EE3393" w:rsidP="0056482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9C" w:rsidRPr="00452466">
        <w:rPr>
          <w:rFonts w:ascii="Arial" w:hAnsi="Arial" w:cs="Arial"/>
        </w:rPr>
        <w:t>rihod od iznajmljivanja dvorana Hrvatskog doma</w:t>
      </w:r>
      <w:r w:rsidR="003A5193" w:rsidRPr="00452466">
        <w:rPr>
          <w:rFonts w:ascii="Arial" w:hAnsi="Arial" w:cs="Arial"/>
        </w:rPr>
        <w:t xml:space="preserve"> i informatičke učionice</w:t>
      </w:r>
      <w:r w:rsidR="00315300" w:rsidRPr="00452466">
        <w:rPr>
          <w:rFonts w:ascii="Arial" w:hAnsi="Arial" w:cs="Arial"/>
        </w:rPr>
        <w:t>,</w:t>
      </w:r>
      <w:r w:rsidR="0026140C" w:rsidRPr="00452466">
        <w:rPr>
          <w:rFonts w:ascii="Arial" w:hAnsi="Arial" w:cs="Arial"/>
        </w:rPr>
        <w:t xml:space="preserve"> </w:t>
      </w:r>
      <w:r w:rsidR="00B85901">
        <w:rPr>
          <w:rFonts w:ascii="Arial" w:hAnsi="Arial" w:cs="Arial"/>
        </w:rPr>
        <w:t xml:space="preserve">prostora </w:t>
      </w:r>
      <w:r w:rsidR="009E3D1B">
        <w:rPr>
          <w:rFonts w:ascii="Arial" w:hAnsi="Arial" w:cs="Arial"/>
        </w:rPr>
        <w:t xml:space="preserve">kojim upravlja Učilište u </w:t>
      </w:r>
      <w:r w:rsidR="00B85901">
        <w:rPr>
          <w:rFonts w:ascii="Arial" w:hAnsi="Arial" w:cs="Arial"/>
        </w:rPr>
        <w:t>202</w:t>
      </w:r>
      <w:r w:rsidR="00506B02">
        <w:rPr>
          <w:rFonts w:ascii="Arial" w:hAnsi="Arial" w:cs="Arial"/>
        </w:rPr>
        <w:t>3</w:t>
      </w:r>
      <w:r w:rsidR="00B85901">
        <w:rPr>
          <w:rFonts w:ascii="Arial" w:hAnsi="Arial" w:cs="Arial"/>
        </w:rPr>
        <w:t xml:space="preserve">. </w:t>
      </w:r>
      <w:r w:rsidR="0036023D">
        <w:rPr>
          <w:rFonts w:ascii="Arial" w:hAnsi="Arial" w:cs="Arial"/>
        </w:rPr>
        <w:t xml:space="preserve">iznosi </w:t>
      </w:r>
      <w:r w:rsidR="00506B02">
        <w:rPr>
          <w:rFonts w:ascii="Arial" w:hAnsi="Arial" w:cs="Arial"/>
        </w:rPr>
        <w:t>3.205,00 eura</w:t>
      </w:r>
      <w:r w:rsidR="003A5193" w:rsidRPr="00452466">
        <w:rPr>
          <w:rFonts w:ascii="Arial" w:hAnsi="Arial" w:cs="Arial"/>
        </w:rPr>
        <w:t>.</w:t>
      </w:r>
    </w:p>
    <w:p w14:paraId="4510EA09" w14:textId="77777777" w:rsidR="00BE58BD" w:rsidRPr="00452466" w:rsidRDefault="00BE58BD" w:rsidP="00564821">
      <w:pPr>
        <w:ind w:right="-284"/>
        <w:jc w:val="both"/>
        <w:rPr>
          <w:rFonts w:ascii="Arial" w:hAnsi="Arial" w:cs="Arial"/>
        </w:rPr>
      </w:pPr>
    </w:p>
    <w:p w14:paraId="4EA434F9" w14:textId="578A8834" w:rsidR="00CA28B2" w:rsidRPr="00452466" w:rsidRDefault="00FD532E" w:rsidP="00564821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 xml:space="preserve">Bilješka br. </w:t>
      </w:r>
      <w:r w:rsidR="00BE58BD">
        <w:rPr>
          <w:rFonts w:ascii="Arial" w:hAnsi="Arial" w:cs="Arial"/>
          <w:b/>
        </w:rPr>
        <w:t>3</w:t>
      </w:r>
    </w:p>
    <w:p w14:paraId="2165BAC5" w14:textId="63E426D2" w:rsidR="00A265FC" w:rsidRPr="00452466" w:rsidRDefault="00A50536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Šifra 663</w:t>
      </w:r>
      <w:r w:rsidR="00A265FC" w:rsidRPr="00452466">
        <w:rPr>
          <w:rFonts w:ascii="Arial" w:hAnsi="Arial" w:cs="Arial"/>
          <w:b/>
        </w:rPr>
        <w:t>- Donacije od pravnih i fizičkih osoba izvan općeg proračuna</w:t>
      </w:r>
    </w:p>
    <w:p w14:paraId="7B4C7221" w14:textId="539D4C7D" w:rsidR="005E4320" w:rsidRDefault="004039F1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="005E4320">
        <w:rPr>
          <w:rFonts w:ascii="Arial" w:hAnsi="Arial" w:cs="Arial"/>
          <w:bCs/>
        </w:rPr>
        <w:t>stvarena</w:t>
      </w:r>
      <w:r>
        <w:rPr>
          <w:rFonts w:ascii="Arial" w:hAnsi="Arial" w:cs="Arial"/>
          <w:bCs/>
        </w:rPr>
        <w:t xml:space="preserve"> je</w:t>
      </w:r>
      <w:r w:rsidR="005E4320">
        <w:rPr>
          <w:rFonts w:ascii="Arial" w:hAnsi="Arial" w:cs="Arial"/>
          <w:bCs/>
        </w:rPr>
        <w:t xml:space="preserve"> tekuća donacija od </w:t>
      </w:r>
      <w:r w:rsidR="005E4320" w:rsidRPr="005E4320">
        <w:rPr>
          <w:rFonts w:ascii="Arial" w:hAnsi="Arial" w:cs="Arial"/>
          <w:bCs/>
        </w:rPr>
        <w:t>Z</w:t>
      </w:r>
      <w:r w:rsidR="005E4320" w:rsidRPr="005E4320">
        <w:rPr>
          <w:rFonts w:ascii="Arial" w:hAnsi="Arial" w:cs="Arial"/>
        </w:rPr>
        <w:t>aklad</w:t>
      </w:r>
      <w:r w:rsidR="005E4320">
        <w:rPr>
          <w:rFonts w:ascii="Arial" w:hAnsi="Arial" w:cs="Arial"/>
        </w:rPr>
        <w:t>e</w:t>
      </w:r>
      <w:r w:rsidR="005E4320" w:rsidRPr="005E4320">
        <w:rPr>
          <w:rFonts w:ascii="Arial" w:hAnsi="Arial" w:cs="Arial"/>
        </w:rPr>
        <w:t xml:space="preserve"> za lokalni razvoj i solidarnost </w:t>
      </w:r>
      <w:r w:rsidR="005E4320">
        <w:rPr>
          <w:rFonts w:ascii="Arial" w:hAnsi="Arial" w:cs="Arial"/>
        </w:rPr>
        <w:t>V</w:t>
      </w:r>
      <w:r w:rsidR="005E4320" w:rsidRPr="005E4320">
        <w:rPr>
          <w:rFonts w:ascii="Arial" w:hAnsi="Arial" w:cs="Arial"/>
        </w:rPr>
        <w:t>olim Križevce</w:t>
      </w:r>
      <w:r w:rsidR="005E4320">
        <w:rPr>
          <w:rFonts w:ascii="Arial" w:hAnsi="Arial" w:cs="Arial"/>
        </w:rPr>
        <w:t xml:space="preserve"> u iznosu od </w:t>
      </w:r>
      <w:r w:rsidR="00B979C2">
        <w:rPr>
          <w:rFonts w:ascii="Arial" w:hAnsi="Arial" w:cs="Arial"/>
        </w:rPr>
        <w:t>7.363,80 eura</w:t>
      </w:r>
      <w:r w:rsidR="00DD27B9">
        <w:rPr>
          <w:rFonts w:ascii="Arial" w:hAnsi="Arial" w:cs="Arial"/>
        </w:rPr>
        <w:t>.</w:t>
      </w:r>
      <w:r w:rsidR="005E4320">
        <w:rPr>
          <w:rFonts w:ascii="Arial" w:hAnsi="Arial" w:cs="Arial"/>
        </w:rPr>
        <w:t xml:space="preserve"> </w:t>
      </w:r>
      <w:r w:rsidR="00DD27B9">
        <w:rPr>
          <w:rFonts w:ascii="Arial" w:hAnsi="Arial" w:cs="Arial"/>
        </w:rPr>
        <w:t>D</w:t>
      </w:r>
      <w:r w:rsidR="005E4320">
        <w:rPr>
          <w:rFonts w:ascii="Arial" w:hAnsi="Arial" w:cs="Arial"/>
        </w:rPr>
        <w:t xml:space="preserve">onacija je namijenjena za pokriće </w:t>
      </w:r>
      <w:r w:rsidR="009424EA">
        <w:rPr>
          <w:rFonts w:ascii="Arial" w:hAnsi="Arial" w:cs="Arial"/>
        </w:rPr>
        <w:t>dijela</w:t>
      </w:r>
      <w:r w:rsidR="005E4320">
        <w:rPr>
          <w:rFonts w:ascii="Arial" w:hAnsi="Arial" w:cs="Arial"/>
        </w:rPr>
        <w:t xml:space="preserve"> troškova plaće za stručnu suradnicu za programe u obrazovanju i kulturi</w:t>
      </w:r>
      <w:r w:rsidR="00DD27B9">
        <w:rPr>
          <w:rFonts w:ascii="Arial" w:hAnsi="Arial" w:cs="Arial"/>
        </w:rPr>
        <w:t>,</w:t>
      </w:r>
      <w:r w:rsidR="005E4320">
        <w:rPr>
          <w:rFonts w:ascii="Arial" w:hAnsi="Arial" w:cs="Arial"/>
        </w:rPr>
        <w:t xml:space="preserve"> </w:t>
      </w:r>
      <w:r w:rsidR="00DD27B9">
        <w:rPr>
          <w:rFonts w:ascii="Arial" w:hAnsi="Arial" w:cs="Arial"/>
        </w:rPr>
        <w:t>koja dio radnog vremena radi na projektu „</w:t>
      </w:r>
      <w:proofErr w:type="spellStart"/>
      <w:r w:rsidR="00DD27B9">
        <w:rPr>
          <w:rFonts w:ascii="Arial" w:hAnsi="Arial" w:cs="Arial"/>
        </w:rPr>
        <w:t>RUKe</w:t>
      </w:r>
      <w:proofErr w:type="spellEnd"/>
      <w:r w:rsidR="00DD27B9">
        <w:rPr>
          <w:rFonts w:ascii="Arial" w:hAnsi="Arial" w:cs="Arial"/>
        </w:rPr>
        <w:t>-recikliram, učim, kreiram“</w:t>
      </w:r>
      <w:r w:rsidR="00891E99">
        <w:rPr>
          <w:rFonts w:ascii="Arial" w:hAnsi="Arial" w:cs="Arial"/>
        </w:rPr>
        <w:t xml:space="preserve"> u kojem je Učilište partner</w:t>
      </w:r>
      <w:r w:rsidR="00DD27B9">
        <w:rPr>
          <w:rFonts w:ascii="Arial" w:hAnsi="Arial" w:cs="Arial"/>
        </w:rPr>
        <w:t>.</w:t>
      </w:r>
    </w:p>
    <w:p w14:paraId="2FBCD672" w14:textId="3BDDD497" w:rsidR="00DA0AA4" w:rsidRPr="00DA0AA4" w:rsidRDefault="00DA0AA4" w:rsidP="00564821">
      <w:pPr>
        <w:jc w:val="both"/>
        <w:rPr>
          <w:rFonts w:ascii="Arial" w:hAnsi="Arial" w:cs="Arial"/>
          <w:b/>
        </w:rPr>
      </w:pPr>
      <w:r w:rsidRPr="00DA0AA4">
        <w:rPr>
          <w:rFonts w:ascii="Arial" w:hAnsi="Arial" w:cs="Arial"/>
          <w:b/>
        </w:rPr>
        <w:t>Bilješ</w:t>
      </w:r>
      <w:r w:rsidR="0043142E">
        <w:rPr>
          <w:rFonts w:ascii="Arial" w:hAnsi="Arial" w:cs="Arial"/>
          <w:b/>
        </w:rPr>
        <w:t>k</w:t>
      </w:r>
      <w:r w:rsidRPr="00DA0AA4">
        <w:rPr>
          <w:rFonts w:ascii="Arial" w:hAnsi="Arial" w:cs="Arial"/>
          <w:b/>
        </w:rPr>
        <w:t>a br.</w:t>
      </w:r>
      <w:r w:rsidR="00900ABF">
        <w:rPr>
          <w:rFonts w:ascii="Arial" w:hAnsi="Arial" w:cs="Arial"/>
          <w:b/>
        </w:rPr>
        <w:t>4</w:t>
      </w:r>
    </w:p>
    <w:p w14:paraId="0C910250" w14:textId="465C831A" w:rsidR="000F05E6" w:rsidRPr="00273AEB" w:rsidRDefault="0043142E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671</w:t>
      </w:r>
      <w:r w:rsidR="00BA2756" w:rsidRPr="00273AEB">
        <w:rPr>
          <w:rFonts w:ascii="Arial" w:hAnsi="Arial" w:cs="Arial"/>
          <w:b/>
        </w:rPr>
        <w:t>-</w:t>
      </w:r>
      <w:r w:rsidR="00BA2756" w:rsidRPr="00273AEB">
        <w:rPr>
          <w:rFonts w:ascii="Arial" w:hAnsi="Arial" w:cs="Arial"/>
        </w:rPr>
        <w:t xml:space="preserve"> </w:t>
      </w:r>
      <w:r w:rsidR="00BA2756" w:rsidRPr="00273AEB">
        <w:rPr>
          <w:rFonts w:ascii="Arial" w:hAnsi="Arial" w:cs="Arial"/>
          <w:b/>
        </w:rPr>
        <w:t xml:space="preserve">Prihodi iz nadležnog proračuna za financiranje redovne djelatnosti   </w:t>
      </w:r>
      <w:r w:rsidR="001B26AF">
        <w:rPr>
          <w:rFonts w:ascii="Arial" w:hAnsi="Arial" w:cs="Arial"/>
          <w:b/>
        </w:rPr>
        <w:t xml:space="preserve">        </w:t>
      </w:r>
      <w:r w:rsidR="00BA2756" w:rsidRPr="00273AEB">
        <w:rPr>
          <w:rFonts w:ascii="Arial" w:hAnsi="Arial" w:cs="Arial"/>
          <w:b/>
        </w:rPr>
        <w:t>proračunskih korisnika</w:t>
      </w:r>
      <w:r w:rsidR="00BA2756" w:rsidRPr="00273AEB">
        <w:rPr>
          <w:rFonts w:ascii="Arial" w:hAnsi="Arial" w:cs="Arial"/>
        </w:rPr>
        <w:t xml:space="preserve"> </w:t>
      </w:r>
    </w:p>
    <w:p w14:paraId="0878B2BF" w14:textId="65A37D0A" w:rsidR="00273AEB" w:rsidRDefault="00733FE8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Prihod nadležnog proračuna</w:t>
      </w:r>
      <w:r w:rsidR="001B26AF">
        <w:rPr>
          <w:rFonts w:ascii="Arial" w:hAnsi="Arial" w:cs="Arial"/>
        </w:rPr>
        <w:t xml:space="preserve"> iznosi </w:t>
      </w:r>
      <w:r w:rsidR="00900ABF">
        <w:rPr>
          <w:rFonts w:ascii="Arial" w:hAnsi="Arial" w:cs="Arial"/>
        </w:rPr>
        <w:t>ukupno 132.</w:t>
      </w:r>
      <w:r w:rsidR="00893028">
        <w:rPr>
          <w:rFonts w:ascii="Arial" w:hAnsi="Arial" w:cs="Arial"/>
        </w:rPr>
        <w:t>689,16 eura</w:t>
      </w:r>
      <w:r w:rsidR="0043142E">
        <w:rPr>
          <w:rFonts w:ascii="Arial" w:hAnsi="Arial" w:cs="Arial"/>
        </w:rPr>
        <w:t xml:space="preserve">, od toga za financiranje rashoda poslovanja </w:t>
      </w:r>
      <w:r w:rsidR="00893028">
        <w:rPr>
          <w:rFonts w:ascii="Arial" w:hAnsi="Arial" w:cs="Arial"/>
        </w:rPr>
        <w:t>119.719,16 eura</w:t>
      </w:r>
      <w:r w:rsidR="0043142E">
        <w:rPr>
          <w:rFonts w:ascii="Arial" w:hAnsi="Arial" w:cs="Arial"/>
        </w:rPr>
        <w:t xml:space="preserve">. To obuhvaća rashode za </w:t>
      </w:r>
      <w:r w:rsidR="00034BD3">
        <w:rPr>
          <w:rFonts w:ascii="Arial" w:hAnsi="Arial" w:cs="Arial"/>
        </w:rPr>
        <w:t>pet</w:t>
      </w:r>
      <w:r w:rsidR="0043142E">
        <w:rPr>
          <w:rFonts w:ascii="Arial" w:hAnsi="Arial" w:cs="Arial"/>
        </w:rPr>
        <w:t xml:space="preserve"> zaposlen</w:t>
      </w:r>
      <w:r w:rsidR="00034BD3">
        <w:rPr>
          <w:rFonts w:ascii="Arial" w:hAnsi="Arial" w:cs="Arial"/>
        </w:rPr>
        <w:t>ih</w:t>
      </w:r>
      <w:r w:rsidR="0043142E">
        <w:rPr>
          <w:rFonts w:ascii="Arial" w:hAnsi="Arial" w:cs="Arial"/>
        </w:rPr>
        <w:t xml:space="preserve"> osob</w:t>
      </w:r>
      <w:r w:rsidR="00034BD3">
        <w:rPr>
          <w:rFonts w:ascii="Arial" w:hAnsi="Arial" w:cs="Arial"/>
        </w:rPr>
        <w:t>a</w:t>
      </w:r>
      <w:r w:rsidR="0043142E">
        <w:rPr>
          <w:rFonts w:ascii="Arial" w:hAnsi="Arial" w:cs="Arial"/>
        </w:rPr>
        <w:t xml:space="preserve">, dio materijalnih troškova za funkcioniranje dvorana Hrvatskog doma, </w:t>
      </w:r>
      <w:r w:rsidR="003B03DF">
        <w:rPr>
          <w:rFonts w:ascii="Arial" w:hAnsi="Arial" w:cs="Arial"/>
        </w:rPr>
        <w:t>za organizaciju Ljetnog kina, te za pokriće d</w:t>
      </w:r>
      <w:r w:rsidR="00FE780A">
        <w:rPr>
          <w:rFonts w:ascii="Arial" w:hAnsi="Arial" w:cs="Arial"/>
        </w:rPr>
        <w:t>i</w:t>
      </w:r>
      <w:r w:rsidR="003B03DF">
        <w:rPr>
          <w:rFonts w:ascii="Arial" w:hAnsi="Arial" w:cs="Arial"/>
        </w:rPr>
        <w:t>jela troškova Kina Križevci.</w:t>
      </w:r>
    </w:p>
    <w:p w14:paraId="3C6E15C0" w14:textId="6B299700" w:rsidR="003B03DF" w:rsidRPr="003B03DF" w:rsidRDefault="003B03DF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financiranje rashoda za nabavu nefinancijske imovine ostvaren je prihod od </w:t>
      </w:r>
      <w:r w:rsidR="00604029">
        <w:rPr>
          <w:rFonts w:ascii="Arial" w:hAnsi="Arial" w:cs="Arial"/>
        </w:rPr>
        <w:t>12.970,00 eura</w:t>
      </w:r>
      <w:r>
        <w:rPr>
          <w:rFonts w:ascii="Arial" w:hAnsi="Arial" w:cs="Arial"/>
        </w:rPr>
        <w:t xml:space="preserve">. Sredstva su namijenjena za nabavu </w:t>
      </w:r>
      <w:r w:rsidR="00483F54">
        <w:rPr>
          <w:rFonts w:ascii="Arial" w:hAnsi="Arial" w:cs="Arial"/>
        </w:rPr>
        <w:t>suvremenog prijenosnog kina</w:t>
      </w:r>
      <w:r w:rsidR="00162BD0">
        <w:rPr>
          <w:rFonts w:ascii="Arial" w:hAnsi="Arial" w:cs="Arial"/>
        </w:rPr>
        <w:t xml:space="preserve"> za veliku dvoranu Hrvatskog doma.</w:t>
      </w:r>
    </w:p>
    <w:p w14:paraId="26AABBB9" w14:textId="77376352" w:rsidR="00535AC8" w:rsidRPr="00535AC8" w:rsidRDefault="00535AC8" w:rsidP="00564821">
      <w:pPr>
        <w:jc w:val="both"/>
        <w:rPr>
          <w:rFonts w:ascii="Arial" w:hAnsi="Arial" w:cs="Arial"/>
          <w:b/>
          <w:bCs/>
        </w:rPr>
      </w:pPr>
      <w:r w:rsidRPr="00535AC8">
        <w:rPr>
          <w:rFonts w:ascii="Arial" w:hAnsi="Arial" w:cs="Arial"/>
          <w:b/>
          <w:bCs/>
        </w:rPr>
        <w:t>Bilješka br.</w:t>
      </w:r>
      <w:r w:rsidR="00AC2AA5">
        <w:rPr>
          <w:rFonts w:ascii="Arial" w:hAnsi="Arial" w:cs="Arial"/>
          <w:b/>
          <w:bCs/>
        </w:rPr>
        <w:t>5</w:t>
      </w:r>
    </w:p>
    <w:p w14:paraId="1F4609CE" w14:textId="046C5A60" w:rsidR="00535AC8" w:rsidRPr="00452466" w:rsidRDefault="00C324AE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311</w:t>
      </w:r>
      <w:r w:rsidR="00535AC8" w:rsidRPr="00452466">
        <w:rPr>
          <w:rFonts w:ascii="Arial" w:hAnsi="Arial" w:cs="Arial"/>
          <w:b/>
          <w:bCs/>
        </w:rPr>
        <w:t xml:space="preserve">-Plaće </w:t>
      </w:r>
      <w:r>
        <w:rPr>
          <w:rFonts w:ascii="Arial" w:hAnsi="Arial" w:cs="Arial"/>
          <w:b/>
          <w:bCs/>
        </w:rPr>
        <w:t>(bruto)</w:t>
      </w:r>
    </w:p>
    <w:p w14:paraId="74110281" w14:textId="549799EC" w:rsidR="00C324AE" w:rsidRPr="00535AC8" w:rsidRDefault="00535AC8" w:rsidP="00564821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Povećanje na poziciji plaća iznosi </w:t>
      </w:r>
      <w:r w:rsidR="00280DF7">
        <w:rPr>
          <w:rFonts w:ascii="Arial" w:hAnsi="Arial" w:cs="Arial"/>
        </w:rPr>
        <w:t>38,9</w:t>
      </w:r>
      <w:r w:rsidRPr="00452466">
        <w:rPr>
          <w:rFonts w:ascii="Arial" w:hAnsi="Arial" w:cs="Arial"/>
        </w:rPr>
        <w:t xml:space="preserve">% u odnosu na prošlu godinu, </w:t>
      </w:r>
      <w:r w:rsidR="00C324AE">
        <w:rPr>
          <w:rFonts w:ascii="Arial" w:hAnsi="Arial" w:cs="Arial"/>
        </w:rPr>
        <w:t>jer je povećana osnovica (za državne službenike i namještenike, te javne službe) za izračun plaća sukladno Kolektivnom ugovoru</w:t>
      </w:r>
      <w:r w:rsidR="004E0641">
        <w:rPr>
          <w:rFonts w:ascii="Arial" w:hAnsi="Arial" w:cs="Arial"/>
        </w:rPr>
        <w:t xml:space="preserve"> za zaposlenike u ustanovama u kulturi grada</w:t>
      </w:r>
      <w:r w:rsidR="00BA55A5">
        <w:rPr>
          <w:rFonts w:ascii="Arial" w:hAnsi="Arial" w:cs="Arial"/>
        </w:rPr>
        <w:t>.</w:t>
      </w:r>
      <w:r w:rsidR="004E0641">
        <w:rPr>
          <w:rFonts w:ascii="Arial" w:hAnsi="Arial" w:cs="Arial"/>
        </w:rPr>
        <w:t xml:space="preserve"> </w:t>
      </w:r>
      <w:r w:rsidR="002D240E">
        <w:rPr>
          <w:rFonts w:ascii="Arial" w:hAnsi="Arial" w:cs="Arial"/>
        </w:rPr>
        <w:t>Tijekom</w:t>
      </w:r>
      <w:r w:rsidR="00B707C3">
        <w:rPr>
          <w:rFonts w:ascii="Arial" w:hAnsi="Arial" w:cs="Arial"/>
        </w:rPr>
        <w:t xml:space="preserve"> cijel</w:t>
      </w:r>
      <w:r w:rsidR="002D240E">
        <w:rPr>
          <w:rFonts w:ascii="Arial" w:hAnsi="Arial" w:cs="Arial"/>
        </w:rPr>
        <w:t>e</w:t>
      </w:r>
      <w:r w:rsidR="00B707C3">
        <w:rPr>
          <w:rFonts w:ascii="Arial" w:hAnsi="Arial" w:cs="Arial"/>
        </w:rPr>
        <w:t xml:space="preserve"> 2023. godin</w:t>
      </w:r>
      <w:r w:rsidR="002D240E">
        <w:rPr>
          <w:rFonts w:ascii="Arial" w:hAnsi="Arial" w:cs="Arial"/>
        </w:rPr>
        <w:t>e</w:t>
      </w:r>
      <w:r w:rsidR="00B707C3">
        <w:rPr>
          <w:rFonts w:ascii="Arial" w:hAnsi="Arial" w:cs="Arial"/>
        </w:rPr>
        <w:t xml:space="preserve"> </w:t>
      </w:r>
      <w:r w:rsidR="00427D80">
        <w:rPr>
          <w:rFonts w:ascii="Arial" w:hAnsi="Arial" w:cs="Arial"/>
        </w:rPr>
        <w:t>ustanova ima pet zaposlenih</w:t>
      </w:r>
      <w:r w:rsidR="00BA55A5">
        <w:rPr>
          <w:rFonts w:ascii="Arial" w:hAnsi="Arial" w:cs="Arial"/>
        </w:rPr>
        <w:t xml:space="preserve"> dok je u 2022. bilo četiri zaposlena.</w:t>
      </w:r>
    </w:p>
    <w:p w14:paraId="2A7AF3B5" w14:textId="1F297881" w:rsidR="0039046A" w:rsidRDefault="00CA28B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31FC3">
        <w:rPr>
          <w:rFonts w:ascii="Arial" w:hAnsi="Arial" w:cs="Arial"/>
          <w:b/>
        </w:rPr>
        <w:t>6</w:t>
      </w:r>
    </w:p>
    <w:p w14:paraId="09068476" w14:textId="04CB94B6" w:rsidR="00C87573" w:rsidRDefault="00C324A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312</w:t>
      </w:r>
      <w:r w:rsidR="00C87573">
        <w:rPr>
          <w:rFonts w:ascii="Arial" w:hAnsi="Arial" w:cs="Arial"/>
          <w:b/>
        </w:rPr>
        <w:t xml:space="preserve">- </w:t>
      </w:r>
      <w:r w:rsidR="002E73D5">
        <w:rPr>
          <w:rFonts w:ascii="Arial" w:hAnsi="Arial" w:cs="Arial"/>
          <w:b/>
        </w:rPr>
        <w:t>Ostali rashod za zaposlene</w:t>
      </w:r>
    </w:p>
    <w:p w14:paraId="203F671D" w14:textId="768D54E5" w:rsidR="002E73D5" w:rsidRDefault="002E73D5" w:rsidP="00564821">
      <w:pPr>
        <w:jc w:val="both"/>
        <w:rPr>
          <w:rFonts w:ascii="Arial" w:hAnsi="Arial" w:cs="Arial"/>
          <w:bCs/>
        </w:rPr>
      </w:pPr>
      <w:r w:rsidRPr="002E73D5">
        <w:rPr>
          <w:rFonts w:ascii="Arial" w:hAnsi="Arial" w:cs="Arial"/>
          <w:bCs/>
        </w:rPr>
        <w:t xml:space="preserve">Ostali rashod za zaposlene, znatno </w:t>
      </w:r>
      <w:r w:rsidR="00BF2AB6">
        <w:rPr>
          <w:rFonts w:ascii="Arial" w:hAnsi="Arial" w:cs="Arial"/>
          <w:bCs/>
        </w:rPr>
        <w:t>je</w:t>
      </w:r>
      <w:r w:rsidRPr="002E73D5">
        <w:rPr>
          <w:rFonts w:ascii="Arial" w:hAnsi="Arial" w:cs="Arial"/>
          <w:bCs/>
        </w:rPr>
        <w:t xml:space="preserve"> povećan u odnosu na 202</w:t>
      </w:r>
      <w:r w:rsidR="00D31FC3">
        <w:rPr>
          <w:rFonts w:ascii="Arial" w:hAnsi="Arial" w:cs="Arial"/>
          <w:bCs/>
        </w:rPr>
        <w:t>2</w:t>
      </w:r>
      <w:r w:rsidRPr="002E73D5">
        <w:rPr>
          <w:rFonts w:ascii="Arial" w:hAnsi="Arial" w:cs="Arial"/>
          <w:bCs/>
        </w:rPr>
        <w:t xml:space="preserve">. </w:t>
      </w:r>
      <w:r w:rsidR="00C324AE">
        <w:rPr>
          <w:rFonts w:ascii="Arial" w:hAnsi="Arial" w:cs="Arial"/>
          <w:bCs/>
        </w:rPr>
        <w:t xml:space="preserve">godinu </w:t>
      </w:r>
      <w:r w:rsidRPr="002E73D5">
        <w:rPr>
          <w:rFonts w:ascii="Arial" w:hAnsi="Arial" w:cs="Arial"/>
          <w:bCs/>
        </w:rPr>
        <w:t xml:space="preserve">jer </w:t>
      </w:r>
      <w:r w:rsidR="00C324AE">
        <w:rPr>
          <w:rFonts w:ascii="Arial" w:hAnsi="Arial" w:cs="Arial"/>
          <w:bCs/>
        </w:rPr>
        <w:t>je povećan neoporezivi iznos naknada za</w:t>
      </w:r>
      <w:r w:rsidR="00572F30">
        <w:rPr>
          <w:rFonts w:ascii="Arial" w:hAnsi="Arial" w:cs="Arial"/>
          <w:bCs/>
        </w:rPr>
        <w:t xml:space="preserve"> dar u naravi,</w:t>
      </w:r>
      <w:r w:rsidR="00C324AE">
        <w:rPr>
          <w:rFonts w:ascii="Arial" w:hAnsi="Arial" w:cs="Arial"/>
          <w:bCs/>
        </w:rPr>
        <w:t xml:space="preserve"> regres i božićnicu</w:t>
      </w:r>
      <w:r w:rsidR="00F31FEF">
        <w:rPr>
          <w:rFonts w:ascii="Arial" w:hAnsi="Arial" w:cs="Arial"/>
          <w:bCs/>
        </w:rPr>
        <w:t xml:space="preserve"> za 202</w:t>
      </w:r>
      <w:r w:rsidR="00B25E2C">
        <w:rPr>
          <w:rFonts w:ascii="Arial" w:hAnsi="Arial" w:cs="Arial"/>
          <w:bCs/>
        </w:rPr>
        <w:t>3</w:t>
      </w:r>
      <w:r w:rsidR="00F31FEF">
        <w:rPr>
          <w:rFonts w:ascii="Arial" w:hAnsi="Arial" w:cs="Arial"/>
          <w:bCs/>
        </w:rPr>
        <w:t>.godinu</w:t>
      </w:r>
      <w:r w:rsidR="00C324AE">
        <w:rPr>
          <w:rFonts w:ascii="Arial" w:hAnsi="Arial" w:cs="Arial"/>
          <w:bCs/>
        </w:rPr>
        <w:t>.</w:t>
      </w:r>
    </w:p>
    <w:p w14:paraId="323B57C0" w14:textId="19C05045" w:rsidR="002E73D5" w:rsidRPr="002E73D5" w:rsidRDefault="002E73D5" w:rsidP="00564821">
      <w:pPr>
        <w:jc w:val="both"/>
        <w:rPr>
          <w:rFonts w:ascii="Arial" w:hAnsi="Arial" w:cs="Arial"/>
          <w:b/>
        </w:rPr>
      </w:pPr>
      <w:r w:rsidRPr="002E73D5">
        <w:rPr>
          <w:rFonts w:ascii="Arial" w:hAnsi="Arial" w:cs="Arial"/>
          <w:b/>
        </w:rPr>
        <w:t>Bilješka br.</w:t>
      </w:r>
      <w:r w:rsidR="00B25E2C">
        <w:rPr>
          <w:rFonts w:ascii="Arial" w:hAnsi="Arial" w:cs="Arial"/>
          <w:b/>
        </w:rPr>
        <w:t>7</w:t>
      </w:r>
    </w:p>
    <w:p w14:paraId="191DC092" w14:textId="06C94EA4" w:rsidR="002E73D5" w:rsidRDefault="00C324A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321</w:t>
      </w:r>
      <w:r w:rsidR="002E73D5" w:rsidRPr="002E73D5">
        <w:rPr>
          <w:rFonts w:ascii="Arial" w:hAnsi="Arial" w:cs="Arial"/>
          <w:b/>
        </w:rPr>
        <w:t>- Naknada troškova zaposlenima</w:t>
      </w:r>
    </w:p>
    <w:p w14:paraId="60333BBA" w14:textId="5A4EC8BE" w:rsidR="002E73D5" w:rsidRPr="002E73D5" w:rsidRDefault="00C324AE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E73D5">
        <w:rPr>
          <w:rFonts w:ascii="Arial" w:hAnsi="Arial" w:cs="Arial"/>
          <w:bCs/>
        </w:rPr>
        <w:t>ovećanje</w:t>
      </w:r>
      <w:r>
        <w:rPr>
          <w:rFonts w:ascii="Arial" w:hAnsi="Arial" w:cs="Arial"/>
          <w:bCs/>
        </w:rPr>
        <w:t xml:space="preserve"> naknada</w:t>
      </w:r>
      <w:r w:rsidR="002E73D5">
        <w:rPr>
          <w:rFonts w:ascii="Arial" w:hAnsi="Arial" w:cs="Arial"/>
          <w:bCs/>
        </w:rPr>
        <w:t xml:space="preserve"> </w:t>
      </w:r>
      <w:r w:rsidR="00D53C5B">
        <w:rPr>
          <w:rFonts w:ascii="Arial" w:hAnsi="Arial" w:cs="Arial"/>
          <w:bCs/>
        </w:rPr>
        <w:t xml:space="preserve">troškova zaposlenima </w:t>
      </w:r>
      <w:r w:rsidR="002E73D5">
        <w:rPr>
          <w:rFonts w:ascii="Arial" w:hAnsi="Arial" w:cs="Arial"/>
          <w:bCs/>
        </w:rPr>
        <w:t xml:space="preserve">rezultat je povećanja </w:t>
      </w:r>
      <w:r w:rsidR="0000185B">
        <w:rPr>
          <w:rFonts w:ascii="Arial" w:hAnsi="Arial" w:cs="Arial"/>
          <w:bCs/>
        </w:rPr>
        <w:t>broja zaposlenih</w:t>
      </w:r>
      <w:r w:rsidR="00E128A6">
        <w:rPr>
          <w:rFonts w:ascii="Arial" w:hAnsi="Arial" w:cs="Arial"/>
          <w:bCs/>
        </w:rPr>
        <w:t>, pa je povećan iznos naknade za prijevoz na posa</w:t>
      </w:r>
      <w:r w:rsidR="00BF07A9">
        <w:rPr>
          <w:rFonts w:ascii="Arial" w:hAnsi="Arial" w:cs="Arial"/>
          <w:bCs/>
        </w:rPr>
        <w:t>o</w:t>
      </w:r>
      <w:r w:rsidR="00763C6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792839">
        <w:rPr>
          <w:rFonts w:ascii="Arial" w:hAnsi="Arial" w:cs="Arial"/>
          <w:bCs/>
        </w:rPr>
        <w:t>Ras</w:t>
      </w:r>
      <w:r w:rsidR="003540D8">
        <w:rPr>
          <w:rFonts w:ascii="Arial" w:hAnsi="Arial" w:cs="Arial"/>
          <w:bCs/>
        </w:rPr>
        <w:t>hodi za službena putovanja i ostale naknade troškova zaposlenima povećan</w:t>
      </w:r>
      <w:r w:rsidR="00D61FE7">
        <w:rPr>
          <w:rFonts w:ascii="Arial" w:hAnsi="Arial" w:cs="Arial"/>
          <w:bCs/>
        </w:rPr>
        <w:t>i</w:t>
      </w:r>
      <w:r w:rsidR="003540D8">
        <w:rPr>
          <w:rFonts w:ascii="Arial" w:hAnsi="Arial" w:cs="Arial"/>
          <w:bCs/>
        </w:rPr>
        <w:t xml:space="preserve"> </w:t>
      </w:r>
      <w:r w:rsidR="00BF07A9">
        <w:rPr>
          <w:rFonts w:ascii="Arial" w:hAnsi="Arial" w:cs="Arial"/>
          <w:bCs/>
        </w:rPr>
        <w:t xml:space="preserve">su </w:t>
      </w:r>
      <w:r w:rsidR="005A2752">
        <w:rPr>
          <w:rFonts w:ascii="Arial" w:hAnsi="Arial" w:cs="Arial"/>
          <w:bCs/>
        </w:rPr>
        <w:t xml:space="preserve">zbog </w:t>
      </w:r>
      <w:r w:rsidR="001C4119">
        <w:rPr>
          <w:rFonts w:ascii="Arial" w:hAnsi="Arial" w:cs="Arial"/>
          <w:bCs/>
        </w:rPr>
        <w:t xml:space="preserve">sudjelovanja na </w:t>
      </w:r>
      <w:r w:rsidR="00842247">
        <w:rPr>
          <w:rFonts w:ascii="Arial" w:hAnsi="Arial" w:cs="Arial"/>
          <w:bCs/>
        </w:rPr>
        <w:t>andragoškom simpoziju</w:t>
      </w:r>
      <w:r w:rsidR="00227105">
        <w:rPr>
          <w:rFonts w:ascii="Arial" w:hAnsi="Arial" w:cs="Arial"/>
          <w:bCs/>
        </w:rPr>
        <w:t xml:space="preserve"> u Podstrani</w:t>
      </w:r>
      <w:r w:rsidR="00842247">
        <w:rPr>
          <w:rFonts w:ascii="Arial" w:hAnsi="Arial" w:cs="Arial"/>
          <w:bCs/>
        </w:rPr>
        <w:t xml:space="preserve">, </w:t>
      </w:r>
      <w:r w:rsidR="00965506">
        <w:rPr>
          <w:rFonts w:ascii="Arial" w:hAnsi="Arial" w:cs="Arial"/>
          <w:bCs/>
        </w:rPr>
        <w:t xml:space="preserve">konferencijama Kino mreže </w:t>
      </w:r>
      <w:r w:rsidR="009B60A4">
        <w:rPr>
          <w:rFonts w:ascii="Arial" w:hAnsi="Arial" w:cs="Arial"/>
          <w:bCs/>
        </w:rPr>
        <w:t>u Varaždinu i Bjelovaru, te</w:t>
      </w:r>
      <w:r w:rsidR="00965506">
        <w:rPr>
          <w:rFonts w:ascii="Arial" w:hAnsi="Arial" w:cs="Arial"/>
          <w:bCs/>
        </w:rPr>
        <w:t xml:space="preserve"> s</w:t>
      </w:r>
      <w:r w:rsidR="00227105">
        <w:rPr>
          <w:rFonts w:ascii="Arial" w:hAnsi="Arial" w:cs="Arial"/>
          <w:bCs/>
        </w:rPr>
        <w:t xml:space="preserve">tručnog usavršavanja </w:t>
      </w:r>
      <w:r w:rsidR="00E030EC">
        <w:rPr>
          <w:rFonts w:ascii="Arial" w:hAnsi="Arial" w:cs="Arial"/>
          <w:bCs/>
        </w:rPr>
        <w:t xml:space="preserve">jedne zaposlenice </w:t>
      </w:r>
      <w:r w:rsidR="00227105">
        <w:rPr>
          <w:rFonts w:ascii="Arial" w:hAnsi="Arial" w:cs="Arial"/>
          <w:bCs/>
        </w:rPr>
        <w:t>u</w:t>
      </w:r>
      <w:r w:rsidR="009B60A4">
        <w:rPr>
          <w:rFonts w:ascii="Arial" w:hAnsi="Arial" w:cs="Arial"/>
          <w:bCs/>
        </w:rPr>
        <w:t xml:space="preserve"> Zagrebu.</w:t>
      </w:r>
    </w:p>
    <w:p w14:paraId="032C3043" w14:textId="75043AE1" w:rsidR="00C95BA2" w:rsidRPr="00C95BA2" w:rsidRDefault="00C95BA2" w:rsidP="00564821">
      <w:pPr>
        <w:jc w:val="both"/>
        <w:rPr>
          <w:rFonts w:ascii="Arial" w:hAnsi="Arial" w:cs="Arial"/>
          <w:b/>
        </w:rPr>
      </w:pPr>
      <w:r w:rsidRPr="00C95BA2">
        <w:rPr>
          <w:rFonts w:ascii="Arial" w:hAnsi="Arial" w:cs="Arial"/>
          <w:b/>
        </w:rPr>
        <w:t>Bilješka br</w:t>
      </w:r>
      <w:r w:rsidR="00C85158">
        <w:rPr>
          <w:rFonts w:ascii="Arial" w:hAnsi="Arial" w:cs="Arial"/>
          <w:b/>
        </w:rPr>
        <w:t>.</w:t>
      </w:r>
      <w:r w:rsidR="00FE43A0">
        <w:rPr>
          <w:rFonts w:ascii="Arial" w:hAnsi="Arial" w:cs="Arial"/>
          <w:b/>
        </w:rPr>
        <w:t>8</w:t>
      </w:r>
    </w:p>
    <w:p w14:paraId="26318DD1" w14:textId="38AA9C23" w:rsidR="00C95BA2" w:rsidRDefault="00E25059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322</w:t>
      </w:r>
      <w:r w:rsidR="00BA2756" w:rsidRPr="00452466">
        <w:rPr>
          <w:rFonts w:ascii="Arial" w:hAnsi="Arial" w:cs="Arial"/>
          <w:b/>
        </w:rPr>
        <w:t>-</w:t>
      </w:r>
      <w:r w:rsidR="004D44F9" w:rsidRPr="00452466">
        <w:rPr>
          <w:rFonts w:ascii="Arial" w:hAnsi="Arial" w:cs="Arial"/>
          <w:b/>
        </w:rPr>
        <w:t xml:space="preserve"> </w:t>
      </w:r>
      <w:r w:rsidR="00A51AA0" w:rsidRPr="00452466">
        <w:rPr>
          <w:rFonts w:ascii="Arial" w:hAnsi="Arial" w:cs="Arial"/>
          <w:b/>
        </w:rPr>
        <w:t>Rashod za materijal i energiju</w:t>
      </w:r>
      <w:r w:rsidR="004D44F9" w:rsidRPr="00452466">
        <w:rPr>
          <w:rFonts w:ascii="Arial" w:hAnsi="Arial" w:cs="Arial"/>
          <w:b/>
        </w:rPr>
        <w:t xml:space="preserve"> </w:t>
      </w:r>
    </w:p>
    <w:p w14:paraId="0434BA98" w14:textId="2F437C4B" w:rsidR="00DF60D5" w:rsidRDefault="00DF60D5" w:rsidP="00564821">
      <w:pPr>
        <w:jc w:val="both"/>
        <w:rPr>
          <w:rFonts w:ascii="Arial" w:hAnsi="Arial" w:cs="Arial"/>
          <w:bCs/>
        </w:rPr>
      </w:pPr>
      <w:r w:rsidRPr="00DF60D5">
        <w:rPr>
          <w:rFonts w:ascii="Arial" w:hAnsi="Arial" w:cs="Arial"/>
          <w:bCs/>
        </w:rPr>
        <w:t>Rashod</w:t>
      </w:r>
      <w:r>
        <w:rPr>
          <w:rFonts w:ascii="Arial" w:hAnsi="Arial" w:cs="Arial"/>
          <w:bCs/>
        </w:rPr>
        <w:t xml:space="preserve"> za materijal i energiju veći je od ostvarenog u prošloj godini, jer je rashod za električnu energiju i plin veći zbog povećan</w:t>
      </w:r>
      <w:r w:rsidR="0074647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8274F5">
        <w:rPr>
          <w:rFonts w:ascii="Arial" w:hAnsi="Arial" w:cs="Arial"/>
          <w:bCs/>
        </w:rPr>
        <w:t>potrošnje</w:t>
      </w:r>
      <w:r>
        <w:rPr>
          <w:rFonts w:ascii="Arial" w:hAnsi="Arial" w:cs="Arial"/>
          <w:bCs/>
        </w:rPr>
        <w:t>.</w:t>
      </w:r>
      <w:r w:rsidR="00DA7C67">
        <w:rPr>
          <w:rFonts w:ascii="Arial" w:hAnsi="Arial" w:cs="Arial"/>
          <w:bCs/>
        </w:rPr>
        <w:t xml:space="preserve"> </w:t>
      </w:r>
      <w:r w:rsidR="00746475">
        <w:rPr>
          <w:rFonts w:ascii="Arial" w:hAnsi="Arial" w:cs="Arial"/>
          <w:bCs/>
        </w:rPr>
        <w:t>Rashod za nabavu</w:t>
      </w:r>
      <w:r w:rsidR="00D777BD">
        <w:rPr>
          <w:rFonts w:ascii="Arial" w:hAnsi="Arial" w:cs="Arial"/>
          <w:bCs/>
        </w:rPr>
        <w:t xml:space="preserve"> uredskog materijala je povećan zbog </w:t>
      </w:r>
      <w:r w:rsidR="00CC5FDB">
        <w:rPr>
          <w:rFonts w:ascii="Arial" w:hAnsi="Arial" w:cs="Arial"/>
          <w:bCs/>
        </w:rPr>
        <w:t>povećanja cijena</w:t>
      </w:r>
      <w:r w:rsidR="00146106">
        <w:rPr>
          <w:rFonts w:ascii="Arial" w:hAnsi="Arial" w:cs="Arial"/>
          <w:bCs/>
        </w:rPr>
        <w:t>.</w:t>
      </w:r>
    </w:p>
    <w:p w14:paraId="171AE7EF" w14:textId="3488A87A" w:rsidR="00F42B5E" w:rsidRDefault="00DF60D5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Rashod za sitni inventar </w:t>
      </w:r>
      <w:r w:rsidR="00146106">
        <w:rPr>
          <w:rFonts w:ascii="Arial" w:hAnsi="Arial" w:cs="Arial"/>
          <w:bCs/>
        </w:rPr>
        <w:t xml:space="preserve">povećan </w:t>
      </w:r>
      <w:r>
        <w:rPr>
          <w:rFonts w:ascii="Arial" w:hAnsi="Arial" w:cs="Arial"/>
          <w:bCs/>
        </w:rPr>
        <w:t xml:space="preserve">je u odnosu na prošlu godinu, a </w:t>
      </w:r>
      <w:r w:rsidR="00F31FEF">
        <w:rPr>
          <w:rFonts w:ascii="Arial" w:hAnsi="Arial" w:cs="Arial"/>
          <w:bCs/>
        </w:rPr>
        <w:t xml:space="preserve">ove godine </w:t>
      </w:r>
      <w:r>
        <w:rPr>
          <w:rFonts w:ascii="Arial" w:hAnsi="Arial" w:cs="Arial"/>
          <w:bCs/>
        </w:rPr>
        <w:t xml:space="preserve">nabavljena su </w:t>
      </w:r>
      <w:bookmarkStart w:id="0" w:name="_Hlk125721827"/>
      <w:r w:rsidR="00D117D1">
        <w:rPr>
          <w:rFonts w:ascii="Arial" w:hAnsi="Arial" w:cs="Arial"/>
          <w:bCs/>
        </w:rPr>
        <w:t xml:space="preserve">dva </w:t>
      </w:r>
      <w:r w:rsidR="00684DC2">
        <w:rPr>
          <w:rFonts w:ascii="Arial" w:hAnsi="Arial" w:cs="Arial"/>
          <w:bCs/>
        </w:rPr>
        <w:t>fiksna telefona</w:t>
      </w:r>
      <w:r w:rsidR="00FE34C4">
        <w:rPr>
          <w:rFonts w:ascii="Arial" w:hAnsi="Arial" w:cs="Arial"/>
          <w:bCs/>
        </w:rPr>
        <w:t xml:space="preserve"> za urede</w:t>
      </w:r>
      <w:r w:rsidR="00DA37A6">
        <w:rPr>
          <w:rFonts w:ascii="Arial" w:hAnsi="Arial" w:cs="Arial"/>
          <w:bCs/>
        </w:rPr>
        <w:t xml:space="preserve"> i</w:t>
      </w:r>
      <w:r w:rsidR="00684DC2">
        <w:rPr>
          <w:rFonts w:ascii="Arial" w:hAnsi="Arial" w:cs="Arial"/>
          <w:bCs/>
        </w:rPr>
        <w:t xml:space="preserve"> šest školskih klupa</w:t>
      </w:r>
      <w:r w:rsidR="00DA37A6">
        <w:rPr>
          <w:rFonts w:ascii="Arial" w:hAnsi="Arial" w:cs="Arial"/>
          <w:bCs/>
        </w:rPr>
        <w:t xml:space="preserve"> za podrumsku dvoranu.</w:t>
      </w:r>
      <w:r w:rsidR="00FE34C4">
        <w:rPr>
          <w:rFonts w:ascii="Arial" w:hAnsi="Arial" w:cs="Arial"/>
          <w:bCs/>
        </w:rPr>
        <w:t xml:space="preserve"> </w:t>
      </w:r>
    </w:p>
    <w:bookmarkEnd w:id="0"/>
    <w:p w14:paraId="6ACC2A11" w14:textId="67B11C13" w:rsidR="00DF60D5" w:rsidRPr="00452466" w:rsidRDefault="00A51AA0" w:rsidP="00564821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Bilješka br.</w:t>
      </w:r>
      <w:r w:rsidR="00906D37">
        <w:rPr>
          <w:rFonts w:ascii="Arial" w:hAnsi="Arial" w:cs="Arial"/>
          <w:b/>
        </w:rPr>
        <w:t>9</w:t>
      </w:r>
    </w:p>
    <w:p w14:paraId="4A53A3B8" w14:textId="1A81B911" w:rsidR="00733FE8" w:rsidRPr="00452466" w:rsidRDefault="00F42CA3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323</w:t>
      </w:r>
      <w:r w:rsidR="00733FE8" w:rsidRPr="00452466">
        <w:rPr>
          <w:rFonts w:ascii="Arial" w:hAnsi="Arial" w:cs="Arial"/>
          <w:b/>
        </w:rPr>
        <w:t>–</w:t>
      </w:r>
      <w:r w:rsidR="007404CD" w:rsidRPr="00452466">
        <w:rPr>
          <w:rFonts w:ascii="Arial" w:hAnsi="Arial" w:cs="Arial"/>
          <w:b/>
        </w:rPr>
        <w:t>Rashodi za usluge</w:t>
      </w:r>
    </w:p>
    <w:p w14:paraId="5EC80D07" w14:textId="4702A0B7" w:rsidR="009D3A94" w:rsidRDefault="007404CD" w:rsidP="00564821">
      <w:pPr>
        <w:ind w:right="143"/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Rashod za usluge </w:t>
      </w:r>
      <w:r w:rsidR="00B45A96" w:rsidRPr="00452466">
        <w:rPr>
          <w:rFonts w:ascii="Arial" w:hAnsi="Arial" w:cs="Arial"/>
        </w:rPr>
        <w:t xml:space="preserve">ukupno je </w:t>
      </w:r>
      <w:r w:rsidR="00F42CA3">
        <w:rPr>
          <w:rFonts w:ascii="Arial" w:hAnsi="Arial" w:cs="Arial"/>
        </w:rPr>
        <w:t>veći</w:t>
      </w:r>
      <w:r w:rsidR="00B45A96" w:rsidRPr="00452466">
        <w:rPr>
          <w:rFonts w:ascii="Arial" w:hAnsi="Arial" w:cs="Arial"/>
        </w:rPr>
        <w:t xml:space="preserve"> u odnosu na prošlu godinu, </w:t>
      </w:r>
      <w:r w:rsidR="00F42CA3">
        <w:rPr>
          <w:rFonts w:ascii="Arial" w:hAnsi="Arial" w:cs="Arial"/>
        </w:rPr>
        <w:t xml:space="preserve">povećanje je na svim </w:t>
      </w:r>
      <w:r w:rsidR="00F517CA">
        <w:rPr>
          <w:rFonts w:ascii="Arial" w:hAnsi="Arial" w:cs="Arial"/>
        </w:rPr>
        <w:t>odjeljcima</w:t>
      </w:r>
      <w:r w:rsidR="00F42CA3">
        <w:rPr>
          <w:rFonts w:ascii="Arial" w:hAnsi="Arial" w:cs="Arial"/>
        </w:rPr>
        <w:t>, ali najznačajnije je na tekućem i investicijskom održavanju.</w:t>
      </w:r>
    </w:p>
    <w:p w14:paraId="04B7B704" w14:textId="23C37A54" w:rsidR="009D3A94" w:rsidRDefault="00BA6809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Ustanova je </w:t>
      </w:r>
      <w:r w:rsidR="00574C8B">
        <w:rPr>
          <w:rFonts w:ascii="Arial" w:hAnsi="Arial" w:cs="Arial"/>
        </w:rPr>
        <w:t>imala</w:t>
      </w:r>
      <w:r w:rsidR="00F42CA3">
        <w:rPr>
          <w:rFonts w:ascii="Arial" w:hAnsi="Arial" w:cs="Arial"/>
        </w:rPr>
        <w:t xml:space="preserve"> dva veća popravka, </w:t>
      </w:r>
      <w:r w:rsidR="00392B28">
        <w:rPr>
          <w:rFonts w:ascii="Arial" w:hAnsi="Arial" w:cs="Arial"/>
        </w:rPr>
        <w:t>plinskih</w:t>
      </w:r>
      <w:r w:rsidR="00421543">
        <w:rPr>
          <w:rFonts w:ascii="Arial" w:hAnsi="Arial" w:cs="Arial"/>
        </w:rPr>
        <w:t xml:space="preserve"> bojlera</w:t>
      </w:r>
      <w:r w:rsidR="00F42CA3">
        <w:rPr>
          <w:rFonts w:ascii="Arial" w:hAnsi="Arial" w:cs="Arial"/>
        </w:rPr>
        <w:t xml:space="preserve"> u </w:t>
      </w:r>
      <w:r w:rsidR="00570B5F">
        <w:rPr>
          <w:rFonts w:ascii="Arial" w:hAnsi="Arial" w:cs="Arial"/>
        </w:rPr>
        <w:t>v</w:t>
      </w:r>
      <w:r w:rsidR="00F42CA3">
        <w:rPr>
          <w:rFonts w:ascii="Arial" w:hAnsi="Arial" w:cs="Arial"/>
        </w:rPr>
        <w:t>elikoj dvorani Hrvatskog doma</w:t>
      </w:r>
      <w:r w:rsidR="00421543">
        <w:rPr>
          <w:rFonts w:ascii="Arial" w:hAnsi="Arial" w:cs="Arial"/>
        </w:rPr>
        <w:t xml:space="preserve"> i u podrumskoj dvorani</w:t>
      </w:r>
      <w:r w:rsidR="00085CD8">
        <w:rPr>
          <w:rFonts w:ascii="Arial" w:hAnsi="Arial" w:cs="Arial"/>
        </w:rPr>
        <w:t xml:space="preserve"> u ukupnom iznosu od </w:t>
      </w:r>
      <w:r w:rsidR="00853E69">
        <w:rPr>
          <w:rFonts w:ascii="Arial" w:hAnsi="Arial" w:cs="Arial"/>
        </w:rPr>
        <w:t>2.459,02 eura</w:t>
      </w:r>
      <w:r w:rsidR="00F42CA3">
        <w:rPr>
          <w:rFonts w:ascii="Arial" w:hAnsi="Arial" w:cs="Arial"/>
        </w:rPr>
        <w:t>.</w:t>
      </w:r>
      <w:r w:rsidR="009D3A94">
        <w:rPr>
          <w:rFonts w:ascii="Arial" w:hAnsi="Arial" w:cs="Arial"/>
        </w:rPr>
        <w:t xml:space="preserve"> </w:t>
      </w:r>
    </w:p>
    <w:p w14:paraId="565FCD14" w14:textId="22D30DC5" w:rsidR="008B2B01" w:rsidRDefault="008B2B01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podrumskoj dvorani </w:t>
      </w:r>
      <w:r w:rsidR="00213D97">
        <w:rPr>
          <w:rFonts w:ascii="Arial" w:hAnsi="Arial" w:cs="Arial"/>
        </w:rPr>
        <w:t xml:space="preserve">izvršeni su </w:t>
      </w:r>
      <w:r w:rsidR="004D7E44">
        <w:rPr>
          <w:rFonts w:ascii="Arial" w:hAnsi="Arial" w:cs="Arial"/>
        </w:rPr>
        <w:t>građevinsko obrtnički radovi u vrijednosti od 20.437,50 eura</w:t>
      </w:r>
      <w:r w:rsidR="006D78FC">
        <w:rPr>
          <w:rFonts w:ascii="Arial" w:hAnsi="Arial" w:cs="Arial"/>
        </w:rPr>
        <w:t>.</w:t>
      </w:r>
      <w:r w:rsidR="001A0A41">
        <w:rPr>
          <w:rFonts w:ascii="Arial" w:hAnsi="Arial" w:cs="Arial"/>
        </w:rPr>
        <w:t xml:space="preserve"> </w:t>
      </w:r>
      <w:r w:rsidR="00FF0763">
        <w:rPr>
          <w:rFonts w:ascii="Arial" w:hAnsi="Arial" w:cs="Arial"/>
        </w:rPr>
        <w:t>Obavljen</w:t>
      </w:r>
      <w:r w:rsidR="00574C8B">
        <w:rPr>
          <w:rFonts w:ascii="Arial" w:hAnsi="Arial" w:cs="Arial"/>
        </w:rPr>
        <w:t>i</w:t>
      </w:r>
      <w:r w:rsidR="00FF0763">
        <w:rPr>
          <w:rFonts w:ascii="Arial" w:hAnsi="Arial" w:cs="Arial"/>
        </w:rPr>
        <w:t xml:space="preserve"> </w:t>
      </w:r>
      <w:r w:rsidR="001E2020">
        <w:rPr>
          <w:rFonts w:ascii="Arial" w:hAnsi="Arial" w:cs="Arial"/>
        </w:rPr>
        <w:t>su soboslikarski radovi, zamjena sanitarija i uređenje stolarije</w:t>
      </w:r>
      <w:r w:rsidR="00944541">
        <w:rPr>
          <w:rFonts w:ascii="Arial" w:hAnsi="Arial" w:cs="Arial"/>
        </w:rPr>
        <w:t>.</w:t>
      </w:r>
    </w:p>
    <w:p w14:paraId="42F1F467" w14:textId="57ABB9BC" w:rsidR="00DA118B" w:rsidRDefault="009D3A94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Zakupnine i najamnine su rashodi za najam prostora i filmova za Kino Križevci</w:t>
      </w:r>
      <w:r w:rsidR="00101490">
        <w:rPr>
          <w:rFonts w:ascii="Arial" w:hAnsi="Arial" w:cs="Arial"/>
        </w:rPr>
        <w:t>. N</w:t>
      </w:r>
      <w:r w:rsidR="000D7B17">
        <w:rPr>
          <w:rFonts w:ascii="Arial" w:hAnsi="Arial" w:cs="Arial"/>
        </w:rPr>
        <w:t xml:space="preserve">ajam </w:t>
      </w:r>
      <w:r w:rsidR="00101490">
        <w:rPr>
          <w:rFonts w:ascii="Arial" w:hAnsi="Arial" w:cs="Arial"/>
        </w:rPr>
        <w:t>filmova plaća se prema broju prodanih ulaznica</w:t>
      </w:r>
      <w:r w:rsidR="00352923">
        <w:rPr>
          <w:rFonts w:ascii="Arial" w:hAnsi="Arial" w:cs="Arial"/>
        </w:rPr>
        <w:t xml:space="preserve">, pa budući da je ostvaren veći broj gledaoca </w:t>
      </w:r>
      <w:r w:rsidR="001A0A41">
        <w:rPr>
          <w:rFonts w:ascii="Arial" w:hAnsi="Arial" w:cs="Arial"/>
        </w:rPr>
        <w:t xml:space="preserve">u kinu i rashod za filmove je veći. Dodatan rashod </w:t>
      </w:r>
      <w:r w:rsidR="00944541">
        <w:rPr>
          <w:rFonts w:ascii="Arial" w:hAnsi="Arial" w:cs="Arial"/>
        </w:rPr>
        <w:t xml:space="preserve">2023. godine je </w:t>
      </w:r>
      <w:r w:rsidR="000C3BEF">
        <w:rPr>
          <w:rFonts w:ascii="Arial" w:hAnsi="Arial" w:cs="Arial"/>
        </w:rPr>
        <w:t xml:space="preserve">najam </w:t>
      </w:r>
      <w:r w:rsidR="003C059F">
        <w:rPr>
          <w:rFonts w:ascii="Arial" w:hAnsi="Arial" w:cs="Arial"/>
        </w:rPr>
        <w:t xml:space="preserve">računalnog </w:t>
      </w:r>
      <w:r w:rsidR="00DE6C12">
        <w:rPr>
          <w:rFonts w:ascii="Arial" w:hAnsi="Arial" w:cs="Arial"/>
        </w:rPr>
        <w:t>programa za Uredsko poslovanje</w:t>
      </w:r>
      <w:r w:rsidR="006B3E9C">
        <w:rPr>
          <w:rFonts w:ascii="Arial" w:hAnsi="Arial" w:cs="Arial"/>
        </w:rPr>
        <w:t xml:space="preserve">, jer je Ustanova </w:t>
      </w:r>
      <w:r w:rsidR="000D0023">
        <w:rPr>
          <w:rFonts w:ascii="Arial" w:hAnsi="Arial" w:cs="Arial"/>
        </w:rPr>
        <w:t xml:space="preserve">od 01.01.2023. obveznik </w:t>
      </w:r>
      <w:r w:rsidR="00053E83">
        <w:rPr>
          <w:rFonts w:ascii="Arial" w:hAnsi="Arial" w:cs="Arial"/>
        </w:rPr>
        <w:t>v</w:t>
      </w:r>
      <w:r w:rsidR="00DA118B">
        <w:rPr>
          <w:rFonts w:ascii="Arial" w:hAnsi="Arial" w:cs="Arial"/>
        </w:rPr>
        <w:t>ođenja elektronskog uredskog poslovanja.</w:t>
      </w:r>
    </w:p>
    <w:p w14:paraId="2EC0675B" w14:textId="5A2F719E" w:rsidR="009D3A94" w:rsidRDefault="009D3A94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>Intelektualne i osobne usluge također su veće nego prošle godine, jer je više ugovora o djelu</w:t>
      </w:r>
      <w:r w:rsidR="000A043E">
        <w:rPr>
          <w:rFonts w:ascii="Arial" w:hAnsi="Arial" w:cs="Arial"/>
        </w:rPr>
        <w:t xml:space="preserve"> s vanjskim suradnicima</w:t>
      </w:r>
      <w:r>
        <w:rPr>
          <w:rFonts w:ascii="Arial" w:hAnsi="Arial" w:cs="Arial"/>
        </w:rPr>
        <w:t>, za veći broj obrazovnih programa.</w:t>
      </w:r>
    </w:p>
    <w:p w14:paraId="3BF489D9" w14:textId="2CA06086" w:rsidR="00CD38F3" w:rsidRPr="00273AEB" w:rsidRDefault="00CD38F3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>Ostale usluge odnose se na usluge za kinooperatera</w:t>
      </w:r>
      <w:r w:rsidR="00F61593">
        <w:rPr>
          <w:rFonts w:ascii="Arial" w:hAnsi="Arial" w:cs="Arial"/>
        </w:rPr>
        <w:t xml:space="preserve"> kojih je bilo više nego lani u isto vrijeme</w:t>
      </w:r>
      <w:r w:rsidR="00F517CA">
        <w:rPr>
          <w:rFonts w:ascii="Arial" w:hAnsi="Arial" w:cs="Arial"/>
        </w:rPr>
        <w:t xml:space="preserve"> (veći broj projekcija)</w:t>
      </w:r>
      <w:r>
        <w:rPr>
          <w:rFonts w:ascii="Arial" w:hAnsi="Arial" w:cs="Arial"/>
        </w:rPr>
        <w:t xml:space="preserve">, usluge kazališta za </w:t>
      </w:r>
      <w:r w:rsidR="00947C97">
        <w:rPr>
          <w:rFonts w:ascii="Arial" w:hAnsi="Arial" w:cs="Arial"/>
        </w:rPr>
        <w:t>jednu</w:t>
      </w:r>
      <w:r>
        <w:rPr>
          <w:rFonts w:ascii="Arial" w:hAnsi="Arial" w:cs="Arial"/>
        </w:rPr>
        <w:t xml:space="preserve"> </w:t>
      </w:r>
      <w:r w:rsidR="00FF0D71">
        <w:rPr>
          <w:rFonts w:ascii="Arial" w:hAnsi="Arial" w:cs="Arial"/>
        </w:rPr>
        <w:t xml:space="preserve">kazališnu </w:t>
      </w:r>
      <w:r>
        <w:rPr>
          <w:rFonts w:ascii="Arial" w:hAnsi="Arial" w:cs="Arial"/>
        </w:rPr>
        <w:t>predstav</w:t>
      </w:r>
      <w:r w:rsidR="00947C97">
        <w:rPr>
          <w:rFonts w:ascii="Arial" w:hAnsi="Arial" w:cs="Arial"/>
        </w:rPr>
        <w:t>u</w:t>
      </w:r>
      <w:r w:rsidR="00502B9E">
        <w:rPr>
          <w:rFonts w:ascii="Arial" w:hAnsi="Arial" w:cs="Arial"/>
        </w:rPr>
        <w:t xml:space="preserve"> povodom Dana Grada</w:t>
      </w:r>
      <w:r>
        <w:rPr>
          <w:rFonts w:ascii="Arial" w:hAnsi="Arial" w:cs="Arial"/>
        </w:rPr>
        <w:t>, t</w:t>
      </w:r>
      <w:r w:rsidR="00F517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usluge </w:t>
      </w:r>
      <w:r w:rsidR="00F61593">
        <w:rPr>
          <w:rFonts w:ascii="Arial" w:hAnsi="Arial" w:cs="Arial"/>
        </w:rPr>
        <w:t xml:space="preserve">za realizaciju </w:t>
      </w:r>
      <w:r w:rsidR="00F517CA">
        <w:rPr>
          <w:rFonts w:ascii="Arial" w:hAnsi="Arial" w:cs="Arial"/>
        </w:rPr>
        <w:t xml:space="preserve">programa </w:t>
      </w:r>
      <w:r w:rsidR="00F61593">
        <w:rPr>
          <w:rFonts w:ascii="Arial" w:hAnsi="Arial" w:cs="Arial"/>
        </w:rPr>
        <w:t>Ljetnog kina</w:t>
      </w:r>
      <w:r w:rsidR="00F517CA">
        <w:rPr>
          <w:rFonts w:ascii="Arial" w:hAnsi="Arial" w:cs="Arial"/>
        </w:rPr>
        <w:t xml:space="preserve"> u mjesecu </w:t>
      </w:r>
      <w:r w:rsidR="00FF6D57">
        <w:rPr>
          <w:rFonts w:ascii="Arial" w:hAnsi="Arial" w:cs="Arial"/>
        </w:rPr>
        <w:t>lipnj</w:t>
      </w:r>
      <w:r w:rsidR="00D166B6">
        <w:rPr>
          <w:rFonts w:ascii="Arial" w:hAnsi="Arial" w:cs="Arial"/>
        </w:rPr>
        <w:t xml:space="preserve">u i </w:t>
      </w:r>
      <w:r w:rsidR="00F517CA">
        <w:rPr>
          <w:rFonts w:ascii="Arial" w:hAnsi="Arial" w:cs="Arial"/>
        </w:rPr>
        <w:t>srpnju</w:t>
      </w:r>
      <w:r w:rsidR="00F61593">
        <w:rPr>
          <w:rFonts w:ascii="Arial" w:hAnsi="Arial" w:cs="Arial"/>
        </w:rPr>
        <w:t>.</w:t>
      </w:r>
      <w:r w:rsidR="00D1596E">
        <w:rPr>
          <w:rFonts w:ascii="Arial" w:hAnsi="Arial" w:cs="Arial"/>
        </w:rPr>
        <w:t xml:space="preserve"> Tu je evidentiran</w:t>
      </w:r>
      <w:r w:rsidR="00871F3A">
        <w:rPr>
          <w:rFonts w:ascii="Arial" w:hAnsi="Arial" w:cs="Arial"/>
        </w:rPr>
        <w:t xml:space="preserve">a i usluga </w:t>
      </w:r>
      <w:r w:rsidR="00DF59B9">
        <w:rPr>
          <w:rFonts w:ascii="Arial" w:hAnsi="Arial" w:cs="Arial"/>
        </w:rPr>
        <w:t xml:space="preserve">udruge </w:t>
      </w:r>
      <w:r w:rsidR="00A25FA3" w:rsidRPr="00A25FA3">
        <w:rPr>
          <w:rFonts w:ascii="Verdana" w:hAnsi="Verdana" w:cs="Tahoma"/>
          <w:sz w:val="22"/>
          <w:szCs w:val="22"/>
        </w:rPr>
        <w:t>PAINT &amp; FUN</w:t>
      </w:r>
      <w:r w:rsidR="00A25FA3">
        <w:rPr>
          <w:rFonts w:ascii="Verdana" w:hAnsi="Verdana" w:cs="Tahoma"/>
          <w:sz w:val="22"/>
          <w:szCs w:val="22"/>
        </w:rPr>
        <w:t xml:space="preserve"> </w:t>
      </w:r>
      <w:r w:rsidR="00DF59B9">
        <w:rPr>
          <w:rFonts w:ascii="Verdana" w:hAnsi="Verdana" w:cs="Tahoma"/>
          <w:sz w:val="22"/>
          <w:szCs w:val="22"/>
        </w:rPr>
        <w:t xml:space="preserve">za radionicu </w:t>
      </w:r>
      <w:proofErr w:type="spellStart"/>
      <w:r w:rsidR="00DF59B9">
        <w:rPr>
          <w:rFonts w:ascii="Verdana" w:hAnsi="Verdana" w:cs="Tahoma"/>
          <w:sz w:val="22"/>
          <w:szCs w:val="22"/>
        </w:rPr>
        <w:t>Paint</w:t>
      </w:r>
      <w:proofErr w:type="spellEnd"/>
      <w:r w:rsidR="00DF59B9">
        <w:rPr>
          <w:rFonts w:ascii="Verdana" w:hAnsi="Verdana" w:cs="Tahoma"/>
          <w:sz w:val="22"/>
          <w:szCs w:val="22"/>
        </w:rPr>
        <w:t xml:space="preserve"> &amp; </w:t>
      </w:r>
      <w:proofErr w:type="spellStart"/>
      <w:r w:rsidR="00DF59B9">
        <w:rPr>
          <w:rFonts w:ascii="Verdana" w:hAnsi="Verdana" w:cs="Tahoma"/>
          <w:sz w:val="22"/>
          <w:szCs w:val="22"/>
        </w:rPr>
        <w:t>Win</w:t>
      </w:r>
      <w:r w:rsidR="00AF45F1">
        <w:rPr>
          <w:rFonts w:ascii="Verdana" w:hAnsi="Verdana" w:cs="Tahoma"/>
          <w:sz w:val="22"/>
          <w:szCs w:val="22"/>
        </w:rPr>
        <w:t>e</w:t>
      </w:r>
      <w:proofErr w:type="spellEnd"/>
      <w:r w:rsidR="00AF45F1">
        <w:rPr>
          <w:rFonts w:ascii="Verdana" w:hAnsi="Verdana" w:cs="Tahoma"/>
          <w:sz w:val="22"/>
          <w:szCs w:val="22"/>
        </w:rPr>
        <w:t>.</w:t>
      </w:r>
    </w:p>
    <w:p w14:paraId="5D4ECD8F" w14:textId="731631D9" w:rsidR="00BA2756" w:rsidRPr="00273AEB" w:rsidRDefault="007404C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</w:t>
      </w:r>
      <w:r w:rsidR="00427D45">
        <w:rPr>
          <w:rFonts w:ascii="Arial" w:hAnsi="Arial" w:cs="Arial"/>
          <w:b/>
        </w:rPr>
        <w:t>.</w:t>
      </w:r>
      <w:r w:rsidR="006A238E">
        <w:rPr>
          <w:rFonts w:ascii="Arial" w:hAnsi="Arial" w:cs="Arial"/>
          <w:b/>
        </w:rPr>
        <w:t>1</w:t>
      </w:r>
      <w:r w:rsidR="00AF45F1">
        <w:rPr>
          <w:rFonts w:ascii="Arial" w:hAnsi="Arial" w:cs="Arial"/>
          <w:b/>
        </w:rPr>
        <w:t>0</w:t>
      </w:r>
    </w:p>
    <w:p w14:paraId="3330D9E4" w14:textId="4C122A48" w:rsidR="00D5540F" w:rsidRPr="00273AEB" w:rsidRDefault="00F61593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329 </w:t>
      </w:r>
      <w:r w:rsidR="00D5540F" w:rsidRPr="00273AEB">
        <w:rPr>
          <w:rFonts w:ascii="Arial" w:hAnsi="Arial" w:cs="Arial"/>
          <w:b/>
        </w:rPr>
        <w:t xml:space="preserve">- Ostali nespomenuti rashodi poslovanja </w:t>
      </w:r>
    </w:p>
    <w:p w14:paraId="541B9284" w14:textId="57BE1FA7" w:rsidR="00F61593" w:rsidRDefault="00D5540F" w:rsidP="00564821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Ostali </w:t>
      </w:r>
      <w:r w:rsidR="00135A93" w:rsidRPr="006F10DD">
        <w:rPr>
          <w:rFonts w:ascii="Arial" w:hAnsi="Arial" w:cs="Arial"/>
        </w:rPr>
        <w:t xml:space="preserve">nespomenuti </w:t>
      </w:r>
      <w:r w:rsidRPr="006F10DD">
        <w:rPr>
          <w:rFonts w:ascii="Arial" w:hAnsi="Arial" w:cs="Arial"/>
        </w:rPr>
        <w:t xml:space="preserve">rashodi </w:t>
      </w:r>
      <w:r w:rsidR="008C000C" w:rsidRPr="006F10DD">
        <w:rPr>
          <w:rFonts w:ascii="Arial" w:hAnsi="Arial" w:cs="Arial"/>
        </w:rPr>
        <w:t>veći su u usporedbi s 202</w:t>
      </w:r>
      <w:r w:rsidR="008C390C">
        <w:rPr>
          <w:rFonts w:ascii="Arial" w:hAnsi="Arial" w:cs="Arial"/>
        </w:rPr>
        <w:t>2</w:t>
      </w:r>
      <w:r w:rsidR="008C000C" w:rsidRPr="006F10DD">
        <w:rPr>
          <w:rFonts w:ascii="Arial" w:hAnsi="Arial" w:cs="Arial"/>
        </w:rPr>
        <w:t>. godinom zbog</w:t>
      </w:r>
      <w:r w:rsidR="00F61593">
        <w:rPr>
          <w:rFonts w:ascii="Arial" w:hAnsi="Arial" w:cs="Arial"/>
        </w:rPr>
        <w:t xml:space="preserve"> povećanih rashoda</w:t>
      </w:r>
      <w:r w:rsidR="00AB7772">
        <w:rPr>
          <w:rFonts w:ascii="Arial" w:hAnsi="Arial" w:cs="Arial"/>
        </w:rPr>
        <w:t xml:space="preserve"> na </w:t>
      </w:r>
      <w:r w:rsidR="00F517CA">
        <w:rPr>
          <w:rFonts w:ascii="Arial" w:hAnsi="Arial" w:cs="Arial"/>
        </w:rPr>
        <w:t>odjeljku</w:t>
      </w:r>
      <w:r w:rsidR="00AB7772">
        <w:rPr>
          <w:rFonts w:ascii="Arial" w:hAnsi="Arial" w:cs="Arial"/>
        </w:rPr>
        <w:t xml:space="preserve"> 3294 Članarine i norme zbog učlanjenja </w:t>
      </w:r>
      <w:r w:rsidR="00F517CA">
        <w:rPr>
          <w:rFonts w:ascii="Arial" w:hAnsi="Arial" w:cs="Arial"/>
        </w:rPr>
        <w:t>Učilišta</w:t>
      </w:r>
      <w:r w:rsidR="00AB7772">
        <w:rPr>
          <w:rFonts w:ascii="Arial" w:hAnsi="Arial" w:cs="Arial"/>
        </w:rPr>
        <w:t xml:space="preserve"> u Kino mrežu</w:t>
      </w:r>
      <w:r w:rsidR="00835C9C">
        <w:rPr>
          <w:rFonts w:ascii="Arial" w:hAnsi="Arial" w:cs="Arial"/>
        </w:rPr>
        <w:t xml:space="preserve"> i Hrvatsku gospodarsku komoru</w:t>
      </w:r>
      <w:r w:rsidR="00AB7772">
        <w:rPr>
          <w:rFonts w:ascii="Arial" w:hAnsi="Arial" w:cs="Arial"/>
        </w:rPr>
        <w:t>.</w:t>
      </w:r>
    </w:p>
    <w:p w14:paraId="1C4B9EDA" w14:textId="11079019" w:rsidR="00D5540F" w:rsidRPr="00273AEB" w:rsidRDefault="00D5540F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A578D1">
        <w:rPr>
          <w:rFonts w:ascii="Arial" w:hAnsi="Arial" w:cs="Arial"/>
          <w:b/>
        </w:rPr>
        <w:t>1</w:t>
      </w:r>
      <w:r w:rsidR="00C1606D">
        <w:rPr>
          <w:rFonts w:ascii="Arial" w:hAnsi="Arial" w:cs="Arial"/>
          <w:b/>
        </w:rPr>
        <w:t>1</w:t>
      </w:r>
    </w:p>
    <w:p w14:paraId="1C19C37A" w14:textId="065C7EA5" w:rsidR="00D5540F" w:rsidRPr="006F10DD" w:rsidRDefault="00AB7772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343 </w:t>
      </w:r>
      <w:r w:rsidR="00D5540F" w:rsidRPr="006F10DD">
        <w:rPr>
          <w:rFonts w:ascii="Arial" w:hAnsi="Arial" w:cs="Arial"/>
          <w:b/>
        </w:rPr>
        <w:t>- Ostali financijski rashodi</w:t>
      </w:r>
    </w:p>
    <w:p w14:paraId="1E334510" w14:textId="7C1D8F9C" w:rsidR="00A578D1" w:rsidRPr="006F10DD" w:rsidRDefault="00BB4CA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Financijski</w:t>
      </w:r>
      <w:r w:rsidR="00A578D1" w:rsidRPr="006F10DD">
        <w:rPr>
          <w:rFonts w:ascii="Arial" w:hAnsi="Arial" w:cs="Arial"/>
          <w:bCs/>
        </w:rPr>
        <w:t xml:space="preserve"> rashodi </w:t>
      </w:r>
      <w:r w:rsidR="00B063E0">
        <w:rPr>
          <w:rFonts w:ascii="Arial" w:hAnsi="Arial" w:cs="Arial"/>
          <w:bCs/>
        </w:rPr>
        <w:t xml:space="preserve">znatno su povećani u odnosu na 2022. </w:t>
      </w:r>
      <w:r>
        <w:rPr>
          <w:rFonts w:ascii="Arial" w:hAnsi="Arial" w:cs="Arial"/>
          <w:bCs/>
        </w:rPr>
        <w:t xml:space="preserve">godinu </w:t>
      </w:r>
      <w:r w:rsidR="0045711E">
        <w:rPr>
          <w:rFonts w:ascii="Arial" w:hAnsi="Arial" w:cs="Arial"/>
          <w:bCs/>
        </w:rPr>
        <w:t xml:space="preserve">zbog naknada za on-line plaćanja </w:t>
      </w:r>
      <w:r w:rsidR="006B59CA">
        <w:rPr>
          <w:rFonts w:ascii="Arial" w:hAnsi="Arial" w:cs="Arial"/>
          <w:bCs/>
        </w:rPr>
        <w:t xml:space="preserve">u Kinu Križevci, a naknade se plaćaju Erste </w:t>
      </w:r>
      <w:proofErr w:type="spellStart"/>
      <w:r w:rsidR="006B59CA">
        <w:rPr>
          <w:rFonts w:ascii="Arial" w:hAnsi="Arial" w:cs="Arial"/>
          <w:bCs/>
        </w:rPr>
        <w:t>Card</w:t>
      </w:r>
      <w:proofErr w:type="spellEnd"/>
      <w:r w:rsidR="006B59CA">
        <w:rPr>
          <w:rFonts w:ascii="Arial" w:hAnsi="Arial" w:cs="Arial"/>
          <w:bCs/>
        </w:rPr>
        <w:t xml:space="preserve"> Clubu</w:t>
      </w:r>
      <w:r w:rsidR="00756B76">
        <w:rPr>
          <w:rFonts w:ascii="Arial" w:hAnsi="Arial" w:cs="Arial"/>
          <w:bCs/>
        </w:rPr>
        <w:t xml:space="preserve"> d.o.o.</w:t>
      </w:r>
      <w:r w:rsidR="00A20D13">
        <w:rPr>
          <w:rFonts w:ascii="Arial" w:hAnsi="Arial" w:cs="Arial"/>
          <w:bCs/>
        </w:rPr>
        <w:t xml:space="preserve"> i </w:t>
      </w:r>
      <w:proofErr w:type="spellStart"/>
      <w:r w:rsidR="00A20D13">
        <w:rPr>
          <w:rFonts w:ascii="Arial" w:hAnsi="Arial" w:cs="Arial"/>
          <w:bCs/>
        </w:rPr>
        <w:t>Corvus</w:t>
      </w:r>
      <w:proofErr w:type="spellEnd"/>
      <w:r w:rsidR="00A20D13">
        <w:rPr>
          <w:rFonts w:ascii="Arial" w:hAnsi="Arial" w:cs="Arial"/>
          <w:bCs/>
        </w:rPr>
        <w:t xml:space="preserve"> </w:t>
      </w:r>
      <w:proofErr w:type="spellStart"/>
      <w:r w:rsidR="00A20D13">
        <w:rPr>
          <w:rFonts w:ascii="Arial" w:hAnsi="Arial" w:cs="Arial"/>
          <w:bCs/>
        </w:rPr>
        <w:t>pay</w:t>
      </w:r>
      <w:proofErr w:type="spellEnd"/>
      <w:r w:rsidR="00A20D13">
        <w:rPr>
          <w:rFonts w:ascii="Arial" w:hAnsi="Arial" w:cs="Arial"/>
          <w:bCs/>
        </w:rPr>
        <w:t xml:space="preserve"> d.o.o.</w:t>
      </w:r>
    </w:p>
    <w:p w14:paraId="202929D0" w14:textId="1036B546" w:rsidR="00F70522" w:rsidRPr="006F10DD" w:rsidRDefault="009E1743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E4043F">
        <w:rPr>
          <w:rFonts w:ascii="Arial" w:hAnsi="Arial" w:cs="Arial"/>
          <w:b/>
        </w:rPr>
        <w:t>2</w:t>
      </w:r>
    </w:p>
    <w:p w14:paraId="26315A5B" w14:textId="029748C3" w:rsidR="00E361EE" w:rsidRPr="006F10DD" w:rsidRDefault="0065288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422 </w:t>
      </w:r>
      <w:r w:rsidR="00E361EE" w:rsidRPr="006F10DD">
        <w:rPr>
          <w:rFonts w:ascii="Arial" w:hAnsi="Arial" w:cs="Arial"/>
          <w:b/>
        </w:rPr>
        <w:t>- Postrojenja i oprema</w:t>
      </w:r>
    </w:p>
    <w:p w14:paraId="4A2FD593" w14:textId="349E2EBB" w:rsidR="00652887" w:rsidRDefault="00F6030D" w:rsidP="00564821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  <w:bCs/>
        </w:rPr>
        <w:t>T</w:t>
      </w:r>
      <w:r w:rsidR="001B7A20" w:rsidRPr="006F10DD">
        <w:rPr>
          <w:rFonts w:ascii="Arial" w:hAnsi="Arial" w:cs="Arial"/>
          <w:bCs/>
        </w:rPr>
        <w:t>ije</w:t>
      </w:r>
      <w:r w:rsidRPr="006F10DD">
        <w:rPr>
          <w:rFonts w:ascii="Arial" w:hAnsi="Arial" w:cs="Arial"/>
          <w:bCs/>
        </w:rPr>
        <w:t>kom 202</w:t>
      </w:r>
      <w:r w:rsidR="00714EE1">
        <w:rPr>
          <w:rFonts w:ascii="Arial" w:hAnsi="Arial" w:cs="Arial"/>
          <w:bCs/>
        </w:rPr>
        <w:t>3</w:t>
      </w:r>
      <w:r w:rsidRPr="006F10DD">
        <w:rPr>
          <w:rFonts w:ascii="Arial" w:hAnsi="Arial" w:cs="Arial"/>
          <w:bCs/>
        </w:rPr>
        <w:t xml:space="preserve">. </w:t>
      </w:r>
      <w:r w:rsidR="0007336E">
        <w:rPr>
          <w:rFonts w:ascii="Arial" w:hAnsi="Arial" w:cs="Arial"/>
          <w:bCs/>
        </w:rPr>
        <w:t xml:space="preserve">godine </w:t>
      </w:r>
      <w:r w:rsidR="003B4C3A">
        <w:rPr>
          <w:rFonts w:ascii="Arial" w:hAnsi="Arial" w:cs="Arial"/>
          <w:bCs/>
        </w:rPr>
        <w:t xml:space="preserve">nabavljeno je postrojenja i opreme u vrijednosti </w:t>
      </w:r>
      <w:r w:rsidR="00C37CAF">
        <w:rPr>
          <w:rFonts w:ascii="Arial" w:hAnsi="Arial" w:cs="Arial"/>
          <w:bCs/>
        </w:rPr>
        <w:t>55.860,00 eura</w:t>
      </w:r>
      <w:r w:rsidR="003B4C3A">
        <w:rPr>
          <w:rFonts w:ascii="Arial" w:hAnsi="Arial" w:cs="Arial"/>
          <w:bCs/>
        </w:rPr>
        <w:t xml:space="preserve">. </w:t>
      </w:r>
    </w:p>
    <w:p w14:paraId="586A8393" w14:textId="5AEE6E2E" w:rsidR="00E361EE" w:rsidRPr="006F10DD" w:rsidRDefault="00E8071B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odjeljku 4227 </w:t>
      </w:r>
      <w:bookmarkStart w:id="1" w:name="_Hlk125721525"/>
      <w:r>
        <w:rPr>
          <w:rFonts w:ascii="Arial" w:hAnsi="Arial" w:cs="Arial"/>
          <w:bCs/>
        </w:rPr>
        <w:t xml:space="preserve">Uređaji, strojevi i oprema za ostale namjene </w:t>
      </w:r>
      <w:bookmarkEnd w:id="1"/>
      <w:r>
        <w:rPr>
          <w:rFonts w:ascii="Arial" w:hAnsi="Arial" w:cs="Arial"/>
          <w:bCs/>
        </w:rPr>
        <w:t>nabavljen</w:t>
      </w:r>
      <w:r w:rsidR="007F340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je</w:t>
      </w:r>
      <w:r w:rsidR="007F3404">
        <w:rPr>
          <w:rFonts w:ascii="Arial" w:hAnsi="Arial" w:cs="Arial"/>
          <w:bCs/>
        </w:rPr>
        <w:t xml:space="preserve"> suvremeno prijenosno kino</w:t>
      </w:r>
      <w:r w:rsidR="00BF4AA1">
        <w:rPr>
          <w:rFonts w:ascii="Arial" w:hAnsi="Arial" w:cs="Arial"/>
          <w:bCs/>
        </w:rPr>
        <w:t xml:space="preserve"> </w:t>
      </w:r>
      <w:r w:rsidR="0055293E">
        <w:rPr>
          <w:rFonts w:ascii="Arial" w:hAnsi="Arial" w:cs="Arial"/>
          <w:bCs/>
        </w:rPr>
        <w:t xml:space="preserve">veliku </w:t>
      </w:r>
      <w:r w:rsidR="00BF4AA1">
        <w:rPr>
          <w:rFonts w:ascii="Arial" w:hAnsi="Arial" w:cs="Arial"/>
          <w:bCs/>
        </w:rPr>
        <w:t xml:space="preserve">za </w:t>
      </w:r>
      <w:r w:rsidR="00652887">
        <w:rPr>
          <w:rFonts w:ascii="Arial" w:hAnsi="Arial" w:cs="Arial"/>
          <w:bCs/>
        </w:rPr>
        <w:t>dvoranu Hrvatskog doma</w:t>
      </w:r>
      <w:r w:rsidR="00F71002">
        <w:rPr>
          <w:rFonts w:ascii="Arial" w:hAnsi="Arial" w:cs="Arial"/>
          <w:bCs/>
        </w:rPr>
        <w:t xml:space="preserve"> u iznosu od 54.987,50 eura</w:t>
      </w:r>
      <w:r w:rsidR="00BF4AA1">
        <w:rPr>
          <w:rFonts w:ascii="Arial" w:hAnsi="Arial" w:cs="Arial"/>
          <w:bCs/>
        </w:rPr>
        <w:t>.</w:t>
      </w:r>
    </w:p>
    <w:p w14:paraId="742169B8" w14:textId="222EDB18" w:rsidR="00103AC1" w:rsidRDefault="00103AC1" w:rsidP="00564821">
      <w:pPr>
        <w:jc w:val="both"/>
        <w:rPr>
          <w:rFonts w:ascii="Arial" w:hAnsi="Arial" w:cs="Arial"/>
          <w:bCs/>
        </w:rPr>
      </w:pPr>
      <w:r w:rsidRPr="00555D45">
        <w:rPr>
          <w:rFonts w:ascii="Arial" w:hAnsi="Arial" w:cs="Arial"/>
          <w:bCs/>
        </w:rPr>
        <w:t xml:space="preserve">Za potrebe obrazovanja nabavljene su dvije </w:t>
      </w:r>
      <w:r w:rsidR="00555D45" w:rsidRPr="00555D45">
        <w:rPr>
          <w:rFonts w:ascii="Arial" w:hAnsi="Arial" w:cs="Arial"/>
          <w:bCs/>
        </w:rPr>
        <w:t>okretne ploče</w:t>
      </w:r>
      <w:r w:rsidR="00555D45">
        <w:rPr>
          <w:rFonts w:ascii="Arial" w:hAnsi="Arial" w:cs="Arial"/>
          <w:b/>
        </w:rPr>
        <w:t xml:space="preserve"> </w:t>
      </w:r>
      <w:r w:rsidR="00555D45" w:rsidRPr="00D95FDF">
        <w:rPr>
          <w:rFonts w:ascii="Arial" w:hAnsi="Arial" w:cs="Arial"/>
          <w:bCs/>
        </w:rPr>
        <w:t xml:space="preserve">u iznosu od </w:t>
      </w:r>
      <w:r w:rsidR="00D95FDF" w:rsidRPr="00D95FDF">
        <w:rPr>
          <w:rFonts w:ascii="Arial" w:hAnsi="Arial" w:cs="Arial"/>
          <w:bCs/>
        </w:rPr>
        <w:t>872,50 eura.</w:t>
      </w:r>
    </w:p>
    <w:p w14:paraId="1FEAEFC9" w14:textId="584E9C8C" w:rsidR="00862D96" w:rsidRDefault="00862D96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EF7366">
        <w:rPr>
          <w:rFonts w:ascii="Arial" w:hAnsi="Arial" w:cs="Arial"/>
          <w:b/>
        </w:rPr>
        <w:t>3</w:t>
      </w:r>
    </w:p>
    <w:p w14:paraId="219265ED" w14:textId="66F508BA" w:rsidR="00103AC1" w:rsidRDefault="00EF7366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426- Nematerijalna proizvedena imovina</w:t>
      </w:r>
    </w:p>
    <w:p w14:paraId="3EE1AEAE" w14:textId="4A64D9BF" w:rsidR="00EF7366" w:rsidRDefault="00013748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odjeljku 4262 Ulaganje u računalne programe</w:t>
      </w:r>
      <w:r w:rsidR="008776D6">
        <w:rPr>
          <w:rFonts w:ascii="Arial" w:hAnsi="Arial" w:cs="Arial"/>
          <w:bCs/>
        </w:rPr>
        <w:t xml:space="preserve"> nabavljan</w:t>
      </w:r>
      <w:r w:rsidR="008D01AF">
        <w:rPr>
          <w:rFonts w:ascii="Arial" w:hAnsi="Arial" w:cs="Arial"/>
          <w:bCs/>
        </w:rPr>
        <w:t xml:space="preserve">e su nadogradnje za </w:t>
      </w:r>
      <w:r w:rsidR="00E154C1">
        <w:rPr>
          <w:rFonts w:ascii="Arial" w:hAnsi="Arial" w:cs="Arial"/>
          <w:bCs/>
        </w:rPr>
        <w:t xml:space="preserve">računalne programe </w:t>
      </w:r>
      <w:r w:rsidR="005E7167">
        <w:rPr>
          <w:rFonts w:ascii="Arial" w:hAnsi="Arial" w:cs="Arial"/>
          <w:bCs/>
        </w:rPr>
        <w:t>koji se koriste u obrazovanju odraslih</w:t>
      </w:r>
      <w:r w:rsidR="00C43E1B">
        <w:rPr>
          <w:rFonts w:ascii="Arial" w:hAnsi="Arial" w:cs="Arial"/>
          <w:bCs/>
        </w:rPr>
        <w:t>.</w:t>
      </w:r>
    </w:p>
    <w:p w14:paraId="128F2E0F" w14:textId="03AC8284" w:rsidR="00444D88" w:rsidRPr="00EF7366" w:rsidRDefault="00614AFE" w:rsidP="00564821">
      <w:pPr>
        <w:jc w:val="both"/>
        <w:rPr>
          <w:rFonts w:ascii="Arial" w:hAnsi="Arial" w:cs="Arial"/>
          <w:bCs/>
        </w:rPr>
      </w:pPr>
      <w:r w:rsidRPr="00444D88">
        <w:rPr>
          <w:rFonts w:ascii="Arial" w:hAnsi="Arial" w:cs="Arial"/>
          <w:b/>
        </w:rPr>
        <w:t>Bilješka br.</w:t>
      </w:r>
      <w:r w:rsidR="00444D88" w:rsidRPr="00444D88">
        <w:rPr>
          <w:rFonts w:ascii="Arial" w:hAnsi="Arial" w:cs="Arial"/>
          <w:b/>
        </w:rPr>
        <w:t>14</w:t>
      </w:r>
    </w:p>
    <w:p w14:paraId="152E2CDC" w14:textId="6884202C" w:rsidR="00432A97" w:rsidRDefault="00432A9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</w:t>
      </w:r>
      <w:r w:rsidR="0015652B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005 – </w:t>
      </w:r>
      <w:r w:rsidR="00965D9F">
        <w:rPr>
          <w:rFonts w:ascii="Arial" w:hAnsi="Arial" w:cs="Arial"/>
          <w:b/>
        </w:rPr>
        <w:t>Manjak</w:t>
      </w:r>
      <w:r>
        <w:rPr>
          <w:rFonts w:ascii="Arial" w:hAnsi="Arial" w:cs="Arial"/>
          <w:b/>
        </w:rPr>
        <w:t xml:space="preserve"> prihoda i primitaka</w:t>
      </w:r>
    </w:p>
    <w:p w14:paraId="77A16967" w14:textId="52CA7810" w:rsidR="00432A97" w:rsidRDefault="00965D9F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Manjak prihoda i primitaka </w:t>
      </w:r>
      <w:r w:rsidR="004B3712">
        <w:rPr>
          <w:rFonts w:ascii="Arial" w:hAnsi="Arial" w:cs="Arial"/>
          <w:bCs/>
        </w:rPr>
        <w:t>Ustanove za 2023. godinu iznosi 10.118,09 eura.</w:t>
      </w:r>
      <w:r w:rsidR="00D7460C">
        <w:rPr>
          <w:rFonts w:ascii="Arial" w:hAnsi="Arial" w:cs="Arial"/>
          <w:bCs/>
        </w:rPr>
        <w:t xml:space="preserve"> Manjak </w:t>
      </w:r>
    </w:p>
    <w:p w14:paraId="324C02EE" w14:textId="77CA5561" w:rsidR="004C3B9A" w:rsidRDefault="00760FEE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ostvaren na temelju prijenosa ostvarenog </w:t>
      </w:r>
      <w:r w:rsidR="00525008">
        <w:rPr>
          <w:rFonts w:ascii="Arial" w:hAnsi="Arial" w:cs="Arial"/>
          <w:bCs/>
        </w:rPr>
        <w:t xml:space="preserve">rezultata iz 2022. godine, a </w:t>
      </w:r>
      <w:r w:rsidR="00156928">
        <w:rPr>
          <w:rFonts w:ascii="Arial" w:hAnsi="Arial" w:cs="Arial"/>
          <w:bCs/>
        </w:rPr>
        <w:t>iznosio je 9.516,58 eura viška prihoda</w:t>
      </w:r>
      <w:r w:rsidR="009C057A">
        <w:rPr>
          <w:rFonts w:ascii="Arial" w:hAnsi="Arial" w:cs="Arial"/>
          <w:bCs/>
        </w:rPr>
        <w:t xml:space="preserve"> nad rashodima</w:t>
      </w:r>
      <w:r w:rsidR="00156928">
        <w:rPr>
          <w:rFonts w:ascii="Arial" w:hAnsi="Arial" w:cs="Arial"/>
          <w:bCs/>
        </w:rPr>
        <w:t xml:space="preserve">. </w:t>
      </w:r>
      <w:r w:rsidR="005A4C9F">
        <w:rPr>
          <w:rFonts w:ascii="Arial" w:hAnsi="Arial" w:cs="Arial"/>
          <w:bCs/>
        </w:rPr>
        <w:t xml:space="preserve">Odlukom Upravnog vijeća </w:t>
      </w:r>
      <w:r w:rsidR="00CF140F">
        <w:rPr>
          <w:rFonts w:ascii="Arial" w:hAnsi="Arial" w:cs="Arial"/>
          <w:bCs/>
        </w:rPr>
        <w:t>Klasa:</w:t>
      </w:r>
      <w:r w:rsidR="00D82418">
        <w:rPr>
          <w:rFonts w:ascii="Arial" w:hAnsi="Arial" w:cs="Arial"/>
          <w:bCs/>
        </w:rPr>
        <w:t>007-03/23-01/005, Urbroj:</w:t>
      </w:r>
      <w:r w:rsidR="00F3544B">
        <w:rPr>
          <w:rFonts w:ascii="Arial" w:hAnsi="Arial" w:cs="Arial"/>
          <w:bCs/>
        </w:rPr>
        <w:t>2137-81/23-001 od 28.11.2023.</w:t>
      </w:r>
      <w:r w:rsidR="00F42924">
        <w:rPr>
          <w:rFonts w:ascii="Arial" w:hAnsi="Arial" w:cs="Arial"/>
          <w:bCs/>
        </w:rPr>
        <w:t xml:space="preserve">taj višak prihoda raspoređen je na </w:t>
      </w:r>
      <w:r w:rsidR="00D45C6F">
        <w:rPr>
          <w:rFonts w:ascii="Arial" w:hAnsi="Arial" w:cs="Arial"/>
          <w:bCs/>
        </w:rPr>
        <w:t>rashode poslovanja i rashode za nabavu dugotrajne imovine.</w:t>
      </w:r>
    </w:p>
    <w:p w14:paraId="2C0EBD77" w14:textId="380AC571" w:rsidR="00432A97" w:rsidRPr="00432A97" w:rsidRDefault="00432A97" w:rsidP="00564821">
      <w:pPr>
        <w:jc w:val="both"/>
        <w:rPr>
          <w:rFonts w:ascii="Arial" w:hAnsi="Arial" w:cs="Arial"/>
          <w:b/>
        </w:rPr>
      </w:pPr>
      <w:r w:rsidRPr="00432A97">
        <w:rPr>
          <w:rFonts w:ascii="Arial" w:hAnsi="Arial" w:cs="Arial"/>
          <w:b/>
        </w:rPr>
        <w:t>Bilješka br.1</w:t>
      </w:r>
      <w:r w:rsidR="00D63D20">
        <w:rPr>
          <w:rFonts w:ascii="Arial" w:hAnsi="Arial" w:cs="Arial"/>
          <w:b/>
        </w:rPr>
        <w:t>5</w:t>
      </w:r>
    </w:p>
    <w:p w14:paraId="6635DA71" w14:textId="6A1590B2" w:rsidR="00003067" w:rsidRPr="00273AEB" w:rsidRDefault="00432A97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D63D2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006 -</w:t>
      </w:r>
      <w:r w:rsidR="00003067" w:rsidRPr="00273AEB">
        <w:rPr>
          <w:rFonts w:ascii="Arial" w:hAnsi="Arial" w:cs="Arial"/>
          <w:b/>
        </w:rPr>
        <w:t xml:space="preserve"> </w:t>
      </w:r>
      <w:r w:rsidR="00625D59">
        <w:rPr>
          <w:rFonts w:ascii="Arial" w:hAnsi="Arial" w:cs="Arial"/>
          <w:b/>
        </w:rPr>
        <w:t>Manjak</w:t>
      </w:r>
      <w:r w:rsidR="00003067" w:rsidRPr="00273AEB">
        <w:rPr>
          <w:rFonts w:ascii="Arial" w:hAnsi="Arial" w:cs="Arial"/>
          <w:b/>
        </w:rPr>
        <w:t xml:space="preserve"> prihoda i primitaka </w:t>
      </w:r>
      <w:r w:rsidR="00625D59">
        <w:rPr>
          <w:rFonts w:ascii="Arial" w:hAnsi="Arial" w:cs="Arial"/>
          <w:b/>
        </w:rPr>
        <w:t>za pokriće</w:t>
      </w:r>
      <w:r w:rsidR="00003067" w:rsidRPr="00273AEB">
        <w:rPr>
          <w:rFonts w:ascii="Arial" w:hAnsi="Arial" w:cs="Arial"/>
          <w:b/>
        </w:rPr>
        <w:t xml:space="preserve"> u sljedećem razdoblju</w:t>
      </w:r>
      <w:r w:rsidR="00003067" w:rsidRPr="00273AEB">
        <w:rPr>
          <w:rFonts w:ascii="Arial" w:hAnsi="Arial" w:cs="Arial"/>
        </w:rPr>
        <w:t xml:space="preserve"> </w:t>
      </w:r>
    </w:p>
    <w:p w14:paraId="7FC080D2" w14:textId="38E3F129" w:rsidR="00F42B5E" w:rsidRPr="00273AEB" w:rsidRDefault="005C2BDE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Rezultat poslovanja 20</w:t>
      </w:r>
      <w:r w:rsidR="00862D96">
        <w:rPr>
          <w:rFonts w:ascii="Arial" w:hAnsi="Arial" w:cs="Arial"/>
        </w:rPr>
        <w:t>2</w:t>
      </w:r>
      <w:r w:rsidR="00625D59">
        <w:rPr>
          <w:rFonts w:ascii="Arial" w:hAnsi="Arial" w:cs="Arial"/>
        </w:rPr>
        <w:t>3</w:t>
      </w:r>
      <w:r w:rsidRPr="00273AEB">
        <w:rPr>
          <w:rFonts w:ascii="Arial" w:hAnsi="Arial" w:cs="Arial"/>
        </w:rPr>
        <w:t>.</w:t>
      </w:r>
      <w:r w:rsidR="00625D59">
        <w:rPr>
          <w:rFonts w:ascii="Arial" w:hAnsi="Arial" w:cs="Arial"/>
        </w:rPr>
        <w:t xml:space="preserve"> godine</w:t>
      </w:r>
      <w:r w:rsidRPr="00273AEB">
        <w:rPr>
          <w:rFonts w:ascii="Arial" w:hAnsi="Arial" w:cs="Arial"/>
        </w:rPr>
        <w:t xml:space="preserve"> je </w:t>
      </w:r>
      <w:r w:rsidR="003C4F1B">
        <w:rPr>
          <w:rFonts w:ascii="Arial" w:hAnsi="Arial" w:cs="Arial"/>
        </w:rPr>
        <w:t>manjak</w:t>
      </w:r>
      <w:r w:rsidR="00432A97">
        <w:rPr>
          <w:rFonts w:ascii="Arial" w:hAnsi="Arial" w:cs="Arial"/>
        </w:rPr>
        <w:t xml:space="preserve"> prihoda i primitaka u iznosu od </w:t>
      </w:r>
      <w:r w:rsidR="003C4F1B">
        <w:rPr>
          <w:rFonts w:ascii="Arial" w:hAnsi="Arial" w:cs="Arial"/>
        </w:rPr>
        <w:t>601,51 euro</w:t>
      </w:r>
      <w:r w:rsidR="001A6A0A">
        <w:rPr>
          <w:rFonts w:ascii="Arial" w:hAnsi="Arial" w:cs="Arial"/>
        </w:rPr>
        <w:t xml:space="preserve">. </w:t>
      </w:r>
      <w:r w:rsidR="00775DD8">
        <w:rPr>
          <w:rFonts w:ascii="Arial" w:hAnsi="Arial" w:cs="Arial"/>
        </w:rPr>
        <w:t xml:space="preserve">Manjak je </w:t>
      </w:r>
      <w:r w:rsidR="00115658">
        <w:rPr>
          <w:rFonts w:ascii="Arial" w:hAnsi="Arial" w:cs="Arial"/>
        </w:rPr>
        <w:t xml:space="preserve">nastao </w:t>
      </w:r>
      <w:r w:rsidR="003936F9">
        <w:rPr>
          <w:rFonts w:ascii="Arial" w:hAnsi="Arial" w:cs="Arial"/>
        </w:rPr>
        <w:t>metodološki</w:t>
      </w:r>
      <w:r w:rsidR="00115658">
        <w:rPr>
          <w:rFonts w:ascii="Arial" w:hAnsi="Arial" w:cs="Arial"/>
        </w:rPr>
        <w:t xml:space="preserve">, zbog načina priznavanja </w:t>
      </w:r>
      <w:r w:rsidR="007672CE">
        <w:rPr>
          <w:rFonts w:ascii="Arial" w:hAnsi="Arial" w:cs="Arial"/>
        </w:rPr>
        <w:t>prihoda i rashoda.</w:t>
      </w:r>
      <w:r w:rsidR="009759BF">
        <w:rPr>
          <w:rFonts w:ascii="Arial" w:hAnsi="Arial" w:cs="Arial"/>
        </w:rPr>
        <w:t xml:space="preserve"> </w:t>
      </w:r>
      <w:r w:rsidR="007672CE">
        <w:rPr>
          <w:rFonts w:ascii="Arial" w:hAnsi="Arial" w:cs="Arial"/>
        </w:rPr>
        <w:t>N</w:t>
      </w:r>
      <w:r w:rsidR="003936F9">
        <w:rPr>
          <w:rFonts w:ascii="Arial" w:hAnsi="Arial" w:cs="Arial"/>
        </w:rPr>
        <w:t xml:space="preserve">edostaju sredstva </w:t>
      </w:r>
      <w:r w:rsidR="00C54CD4">
        <w:rPr>
          <w:rFonts w:ascii="Arial" w:hAnsi="Arial" w:cs="Arial"/>
        </w:rPr>
        <w:t>iz proračuna Grada Križevaca</w:t>
      </w:r>
      <w:r w:rsidR="00FF0C6F">
        <w:rPr>
          <w:rFonts w:ascii="Arial" w:hAnsi="Arial" w:cs="Arial"/>
        </w:rPr>
        <w:t xml:space="preserve"> </w:t>
      </w:r>
      <w:r w:rsidR="00C54CD4">
        <w:rPr>
          <w:rFonts w:ascii="Arial" w:hAnsi="Arial" w:cs="Arial"/>
        </w:rPr>
        <w:t>za</w:t>
      </w:r>
      <w:r w:rsidR="00FF0C6F">
        <w:rPr>
          <w:rFonts w:ascii="Arial" w:hAnsi="Arial" w:cs="Arial"/>
        </w:rPr>
        <w:t xml:space="preserve"> rashode ostvarene u prosincu</w:t>
      </w:r>
      <w:r w:rsidR="00C54CD4"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</w:rPr>
        <w:t xml:space="preserve"> što </w:t>
      </w:r>
      <w:r w:rsidR="00C25387">
        <w:rPr>
          <w:rFonts w:ascii="Arial" w:hAnsi="Arial" w:cs="Arial"/>
        </w:rPr>
        <w:t>će se podmiriti u sljedećem razdoblju</w:t>
      </w:r>
      <w:r w:rsidR="004C29D2">
        <w:rPr>
          <w:rFonts w:ascii="Arial" w:hAnsi="Arial" w:cs="Arial"/>
        </w:rPr>
        <w:t>, povećanjem prihoda</w:t>
      </w:r>
      <w:r w:rsidR="00804B79">
        <w:rPr>
          <w:rFonts w:ascii="Arial" w:hAnsi="Arial" w:cs="Arial"/>
        </w:rPr>
        <w:t xml:space="preserve"> iz tog izvora</w:t>
      </w:r>
      <w:r w:rsidR="004C29D2">
        <w:rPr>
          <w:rFonts w:ascii="Arial" w:hAnsi="Arial" w:cs="Arial"/>
        </w:rPr>
        <w:t>.</w:t>
      </w:r>
    </w:p>
    <w:p w14:paraId="097A880A" w14:textId="47C27BF8" w:rsidR="00AE17D4" w:rsidRPr="00862D96" w:rsidRDefault="00862D96" w:rsidP="00564821">
      <w:pPr>
        <w:jc w:val="both"/>
        <w:rPr>
          <w:rFonts w:ascii="Arial" w:hAnsi="Arial" w:cs="Arial"/>
          <w:b/>
          <w:bCs/>
        </w:rPr>
      </w:pPr>
      <w:r w:rsidRPr="00862D96">
        <w:rPr>
          <w:rFonts w:ascii="Arial" w:hAnsi="Arial" w:cs="Arial"/>
          <w:b/>
          <w:bCs/>
        </w:rPr>
        <w:t>Bilješka br.1</w:t>
      </w:r>
      <w:r w:rsidR="00925924">
        <w:rPr>
          <w:rFonts w:ascii="Arial" w:hAnsi="Arial" w:cs="Arial"/>
          <w:b/>
          <w:bCs/>
        </w:rPr>
        <w:t>6</w:t>
      </w:r>
    </w:p>
    <w:p w14:paraId="1D4287DA" w14:textId="2C036F80" w:rsidR="00862D96" w:rsidRPr="006F10DD" w:rsidRDefault="00432A97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11K</w:t>
      </w:r>
      <w:r w:rsidR="00862D96" w:rsidRPr="006F10DD">
        <w:rPr>
          <w:rFonts w:ascii="Arial" w:hAnsi="Arial" w:cs="Arial"/>
          <w:b/>
          <w:bCs/>
        </w:rPr>
        <w:t xml:space="preserve"> – </w:t>
      </w:r>
      <w:r w:rsidR="00714BE4" w:rsidRPr="006F10DD">
        <w:rPr>
          <w:rFonts w:ascii="Arial" w:hAnsi="Arial" w:cs="Arial"/>
          <w:b/>
          <w:bCs/>
        </w:rPr>
        <w:t>Ukupni priljev i odljev</w:t>
      </w:r>
      <w:r w:rsidR="00862D96" w:rsidRPr="006F10DD">
        <w:rPr>
          <w:rFonts w:ascii="Arial" w:hAnsi="Arial" w:cs="Arial"/>
          <w:b/>
          <w:bCs/>
        </w:rPr>
        <w:t xml:space="preserve"> novčanih sredstava</w:t>
      </w:r>
    </w:p>
    <w:p w14:paraId="6E73494A" w14:textId="2226E58E" w:rsidR="00862D96" w:rsidRDefault="00862D96" w:rsidP="00564821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Budući da Pučko otvoreno učilište</w:t>
      </w:r>
      <w:r w:rsidR="0073300E" w:rsidRPr="006F10DD">
        <w:rPr>
          <w:rFonts w:ascii="Arial" w:hAnsi="Arial" w:cs="Arial"/>
        </w:rPr>
        <w:t xml:space="preserve"> Križevci</w:t>
      </w:r>
      <w:r w:rsidRPr="006F10DD">
        <w:rPr>
          <w:rFonts w:ascii="Arial" w:hAnsi="Arial" w:cs="Arial"/>
        </w:rPr>
        <w:t xml:space="preserve"> posluje u sklopu riznice </w:t>
      </w:r>
      <w:r w:rsidR="00925924">
        <w:rPr>
          <w:rFonts w:ascii="Arial" w:hAnsi="Arial" w:cs="Arial"/>
        </w:rPr>
        <w:t>G</w:t>
      </w:r>
      <w:r w:rsidRPr="006F10DD">
        <w:rPr>
          <w:rFonts w:ascii="Arial" w:hAnsi="Arial" w:cs="Arial"/>
        </w:rPr>
        <w:t xml:space="preserve">rada Križevaca i nema svoj žiro račun, promet na </w:t>
      </w:r>
      <w:r w:rsidR="00656D8E">
        <w:rPr>
          <w:rFonts w:ascii="Arial" w:hAnsi="Arial" w:cs="Arial"/>
        </w:rPr>
        <w:t>šifr</w:t>
      </w:r>
      <w:r w:rsidR="006B469F">
        <w:rPr>
          <w:rFonts w:ascii="Arial" w:hAnsi="Arial" w:cs="Arial"/>
        </w:rPr>
        <w:t xml:space="preserve">ama </w:t>
      </w:r>
      <w:r w:rsidR="004E5D01">
        <w:rPr>
          <w:rFonts w:ascii="Arial" w:hAnsi="Arial" w:cs="Arial"/>
        </w:rPr>
        <w:t>11P, 11-dugov.,11-potraž.,</w:t>
      </w:r>
      <w:r w:rsidR="000E07A5">
        <w:rPr>
          <w:rFonts w:ascii="Arial" w:hAnsi="Arial" w:cs="Arial"/>
        </w:rPr>
        <w:t xml:space="preserve">11K </w:t>
      </w:r>
      <w:r w:rsidR="00656D8E">
        <w:rPr>
          <w:rFonts w:ascii="Arial" w:hAnsi="Arial" w:cs="Arial"/>
        </w:rPr>
        <w:t xml:space="preserve"> je ustvari</w:t>
      </w:r>
      <w:r w:rsidRPr="006F10DD">
        <w:rPr>
          <w:rFonts w:ascii="Arial" w:hAnsi="Arial" w:cs="Arial"/>
        </w:rPr>
        <w:t xml:space="preserve"> promet blagajn</w:t>
      </w:r>
      <w:r w:rsidR="001B7A20" w:rsidRPr="006F10DD">
        <w:rPr>
          <w:rFonts w:ascii="Arial" w:hAnsi="Arial" w:cs="Arial"/>
        </w:rPr>
        <w:t>e</w:t>
      </w:r>
      <w:r w:rsidRPr="006F10DD">
        <w:rPr>
          <w:rFonts w:ascii="Arial" w:hAnsi="Arial" w:cs="Arial"/>
        </w:rPr>
        <w:t>.</w:t>
      </w:r>
      <w:r w:rsidR="00714BE4" w:rsidRPr="006F10DD">
        <w:rPr>
          <w:rFonts w:ascii="Arial" w:hAnsi="Arial" w:cs="Arial"/>
        </w:rPr>
        <w:t xml:space="preserve"> Ove godine je taj promet </w:t>
      </w:r>
      <w:r w:rsidR="000E07A5">
        <w:rPr>
          <w:rFonts w:ascii="Arial" w:hAnsi="Arial" w:cs="Arial"/>
        </w:rPr>
        <w:t>manji je</w:t>
      </w:r>
      <w:r w:rsidR="00714BE4" w:rsidRPr="006F10DD">
        <w:rPr>
          <w:rFonts w:ascii="Arial" w:hAnsi="Arial" w:cs="Arial"/>
        </w:rPr>
        <w:t xml:space="preserve"> od prošle </w:t>
      </w:r>
      <w:r w:rsidR="000E07A5">
        <w:rPr>
          <w:rFonts w:ascii="Arial" w:hAnsi="Arial" w:cs="Arial"/>
        </w:rPr>
        <w:t xml:space="preserve">godine </w:t>
      </w:r>
      <w:r w:rsidR="00714BE4" w:rsidRPr="006F10DD">
        <w:rPr>
          <w:rFonts w:ascii="Arial" w:hAnsi="Arial" w:cs="Arial"/>
        </w:rPr>
        <w:t xml:space="preserve">jer </w:t>
      </w:r>
      <w:r w:rsidR="00E209A7" w:rsidRPr="006F10DD">
        <w:rPr>
          <w:rFonts w:ascii="Arial" w:hAnsi="Arial" w:cs="Arial"/>
        </w:rPr>
        <w:t>K</w:t>
      </w:r>
      <w:r w:rsidR="00714BE4" w:rsidRPr="006F10DD">
        <w:rPr>
          <w:rFonts w:ascii="Arial" w:hAnsi="Arial" w:cs="Arial"/>
        </w:rPr>
        <w:t xml:space="preserve">ino Križevci </w:t>
      </w:r>
      <w:r w:rsidR="000E07A5">
        <w:rPr>
          <w:rFonts w:ascii="Arial" w:hAnsi="Arial" w:cs="Arial"/>
        </w:rPr>
        <w:t xml:space="preserve">ne </w:t>
      </w:r>
      <w:r w:rsidR="00714BE4" w:rsidRPr="006F10DD">
        <w:rPr>
          <w:rFonts w:ascii="Arial" w:hAnsi="Arial" w:cs="Arial"/>
        </w:rPr>
        <w:t>radi</w:t>
      </w:r>
      <w:r w:rsidR="00700B44">
        <w:rPr>
          <w:rFonts w:ascii="Arial" w:hAnsi="Arial" w:cs="Arial"/>
        </w:rPr>
        <w:t xml:space="preserve"> samo</w:t>
      </w:r>
      <w:r w:rsidR="00714BE4" w:rsidRPr="006F10DD">
        <w:rPr>
          <w:rFonts w:ascii="Arial" w:hAnsi="Arial" w:cs="Arial"/>
        </w:rPr>
        <w:t xml:space="preserve"> preko blagajne</w:t>
      </w:r>
      <w:r w:rsidR="00656D8E">
        <w:rPr>
          <w:rFonts w:ascii="Arial" w:hAnsi="Arial" w:cs="Arial"/>
        </w:rPr>
        <w:t xml:space="preserve">, </w:t>
      </w:r>
      <w:r w:rsidR="00700B44">
        <w:rPr>
          <w:rFonts w:ascii="Arial" w:hAnsi="Arial" w:cs="Arial"/>
        </w:rPr>
        <w:t>već</w:t>
      </w:r>
      <w:r w:rsidR="00656D8E">
        <w:rPr>
          <w:rFonts w:ascii="Arial" w:hAnsi="Arial" w:cs="Arial"/>
        </w:rPr>
        <w:t xml:space="preserve"> i putem on-line plaćanja</w:t>
      </w:r>
      <w:r w:rsidR="001E70B5">
        <w:rPr>
          <w:rFonts w:ascii="Arial" w:hAnsi="Arial" w:cs="Arial"/>
        </w:rPr>
        <w:t>,</w:t>
      </w:r>
      <w:r w:rsidR="006503BA">
        <w:rPr>
          <w:rFonts w:ascii="Arial" w:hAnsi="Arial" w:cs="Arial"/>
        </w:rPr>
        <w:t xml:space="preserve"> </w:t>
      </w:r>
      <w:r w:rsidR="001E70B5">
        <w:rPr>
          <w:rFonts w:ascii="Arial" w:hAnsi="Arial" w:cs="Arial"/>
        </w:rPr>
        <w:t>znači bezgotovinski</w:t>
      </w:r>
      <w:r w:rsidR="00656D8E">
        <w:rPr>
          <w:rFonts w:ascii="Arial" w:hAnsi="Arial" w:cs="Arial"/>
        </w:rPr>
        <w:t>.</w:t>
      </w:r>
    </w:p>
    <w:p w14:paraId="737E4AA5" w14:textId="37562365" w:rsidR="00AC0B18" w:rsidRPr="00AC0B18" w:rsidRDefault="00AC0B18" w:rsidP="00564821">
      <w:pPr>
        <w:jc w:val="both"/>
        <w:rPr>
          <w:rFonts w:ascii="Arial" w:hAnsi="Arial" w:cs="Arial"/>
          <w:b/>
          <w:bCs/>
        </w:rPr>
      </w:pPr>
      <w:r w:rsidRPr="00AC0B18">
        <w:rPr>
          <w:rFonts w:ascii="Arial" w:hAnsi="Arial" w:cs="Arial"/>
          <w:b/>
          <w:bCs/>
        </w:rPr>
        <w:lastRenderedPageBreak/>
        <w:t>Bilješka br.1</w:t>
      </w:r>
      <w:r w:rsidR="001E70B5">
        <w:rPr>
          <w:rFonts w:ascii="Arial" w:hAnsi="Arial" w:cs="Arial"/>
          <w:b/>
          <w:bCs/>
        </w:rPr>
        <w:t>7</w:t>
      </w:r>
    </w:p>
    <w:p w14:paraId="50133093" w14:textId="0180F5C4" w:rsidR="00AC0B18" w:rsidRDefault="00656D8E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Šifra-</w:t>
      </w:r>
      <w:r w:rsidR="00BB26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Z007 i Z009 </w:t>
      </w:r>
      <w:r w:rsidR="00AC0B18" w:rsidRPr="00AC0B18">
        <w:rPr>
          <w:rFonts w:ascii="Arial" w:hAnsi="Arial" w:cs="Arial"/>
          <w:b/>
          <w:bCs/>
        </w:rPr>
        <w:t>- Prosječan broj zaposlenih kod korisnika i prosječan broj zaposlenih na osnovi sati rada</w:t>
      </w:r>
    </w:p>
    <w:p w14:paraId="2FE445B3" w14:textId="2BD28044" w:rsidR="00AC0B18" w:rsidRDefault="00AC0B18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Prosječan broj zaposlenih </w:t>
      </w:r>
      <w:r w:rsidR="008D60BD">
        <w:rPr>
          <w:rFonts w:ascii="Arial" w:hAnsi="Arial" w:cs="Arial"/>
        </w:rPr>
        <w:t>u 202</w:t>
      </w:r>
      <w:r w:rsidR="001B5233">
        <w:rPr>
          <w:rFonts w:ascii="Arial" w:hAnsi="Arial" w:cs="Arial"/>
        </w:rPr>
        <w:t>3</w:t>
      </w:r>
      <w:r w:rsidR="008D60BD">
        <w:rPr>
          <w:rFonts w:ascii="Arial" w:hAnsi="Arial" w:cs="Arial"/>
        </w:rPr>
        <w:t xml:space="preserve">. </w:t>
      </w:r>
      <w:r w:rsidR="00BB2661">
        <w:rPr>
          <w:rFonts w:ascii="Arial" w:hAnsi="Arial" w:cs="Arial"/>
        </w:rPr>
        <w:t xml:space="preserve">godini </w:t>
      </w:r>
      <w:r w:rsidR="00656D8E">
        <w:rPr>
          <w:rFonts w:ascii="Arial" w:hAnsi="Arial" w:cs="Arial"/>
        </w:rPr>
        <w:t>u odnosu na 202</w:t>
      </w:r>
      <w:r w:rsidR="001B5233">
        <w:rPr>
          <w:rFonts w:ascii="Arial" w:hAnsi="Arial" w:cs="Arial"/>
        </w:rPr>
        <w:t>2</w:t>
      </w:r>
      <w:r w:rsidR="00656D8E">
        <w:rPr>
          <w:rFonts w:ascii="Arial" w:hAnsi="Arial" w:cs="Arial"/>
        </w:rPr>
        <w:t xml:space="preserve">. godinu je </w:t>
      </w:r>
      <w:r w:rsidR="001B5233">
        <w:rPr>
          <w:rFonts w:ascii="Arial" w:hAnsi="Arial" w:cs="Arial"/>
        </w:rPr>
        <w:t>veći</w:t>
      </w:r>
      <w:r w:rsidR="00210858">
        <w:rPr>
          <w:rFonts w:ascii="Arial" w:hAnsi="Arial" w:cs="Arial"/>
        </w:rPr>
        <w:t>,</w:t>
      </w:r>
      <w:r w:rsidR="00AC0054">
        <w:rPr>
          <w:rFonts w:ascii="Arial" w:hAnsi="Arial" w:cs="Arial"/>
        </w:rPr>
        <w:t xml:space="preserve"> jer je</w:t>
      </w:r>
      <w:r w:rsidR="00656D8E">
        <w:rPr>
          <w:rFonts w:ascii="Arial" w:hAnsi="Arial" w:cs="Arial"/>
        </w:rPr>
        <w:t xml:space="preserve"> zaposlena djelatnica </w:t>
      </w:r>
      <w:r w:rsidR="00675B41">
        <w:rPr>
          <w:rFonts w:ascii="Arial" w:hAnsi="Arial" w:cs="Arial"/>
        </w:rPr>
        <w:t>na radnom mjestu tajnica-računovodstveni referent</w:t>
      </w:r>
      <w:r w:rsidR="00656D8E">
        <w:rPr>
          <w:rFonts w:ascii="Arial" w:hAnsi="Arial" w:cs="Arial"/>
        </w:rPr>
        <w:t xml:space="preserve"> na puno radno vrijeme</w:t>
      </w:r>
      <w:r w:rsidR="000D76AC">
        <w:rPr>
          <w:rFonts w:ascii="Arial" w:hAnsi="Arial" w:cs="Arial"/>
        </w:rPr>
        <w:t xml:space="preserve"> i stručna suradnica u obrazovanju odraslih</w:t>
      </w:r>
      <w:r w:rsidR="003376A1">
        <w:rPr>
          <w:rFonts w:ascii="Arial" w:hAnsi="Arial" w:cs="Arial"/>
        </w:rPr>
        <w:t>,</w:t>
      </w:r>
      <w:r w:rsidR="00A52554">
        <w:rPr>
          <w:rFonts w:ascii="Arial" w:hAnsi="Arial" w:cs="Arial"/>
        </w:rPr>
        <w:t xml:space="preserve"> </w:t>
      </w:r>
      <w:r w:rsidR="000A7E1A">
        <w:rPr>
          <w:rFonts w:ascii="Arial" w:hAnsi="Arial" w:cs="Arial"/>
        </w:rPr>
        <w:t>također</w:t>
      </w:r>
      <w:r w:rsidR="000D76AC">
        <w:rPr>
          <w:rFonts w:ascii="Arial" w:hAnsi="Arial" w:cs="Arial"/>
        </w:rPr>
        <w:t xml:space="preserve"> na puno radno vrijeme.</w:t>
      </w:r>
      <w:r w:rsidR="00656D8E">
        <w:rPr>
          <w:rFonts w:ascii="Arial" w:hAnsi="Arial" w:cs="Arial"/>
        </w:rPr>
        <w:t xml:space="preserve"> </w:t>
      </w:r>
    </w:p>
    <w:p w14:paraId="6E853385" w14:textId="77777777" w:rsidR="00911352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</w:p>
    <w:p w14:paraId="3CC18C6C" w14:textId="17BA1F07" w:rsidR="00AE17D4" w:rsidRDefault="00911352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1B7A20">
        <w:rPr>
          <w:rFonts w:ascii="Arial" w:hAnsi="Arial" w:cs="Arial"/>
          <w:b/>
        </w:rPr>
        <w:t xml:space="preserve">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AE17D4" w:rsidRPr="00273AEB">
        <w:rPr>
          <w:rFonts w:ascii="Arial" w:hAnsi="Arial" w:cs="Arial"/>
          <w:b/>
        </w:rPr>
        <w:t>OBRAZAC- BIL</w:t>
      </w:r>
      <w:r w:rsidR="00DE1A24" w:rsidRPr="00273AEB">
        <w:rPr>
          <w:rFonts w:ascii="Arial" w:hAnsi="Arial" w:cs="Arial"/>
          <w:b/>
        </w:rPr>
        <w:t>ANCA</w:t>
      </w:r>
    </w:p>
    <w:p w14:paraId="5A451347" w14:textId="7F42E8FC" w:rsidR="00911352" w:rsidRDefault="00D20D55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911352">
        <w:rPr>
          <w:rFonts w:ascii="Arial" w:hAnsi="Arial" w:cs="Arial"/>
          <w:b/>
        </w:rPr>
        <w:t>Bilanca</w:t>
      </w:r>
    </w:p>
    <w:p w14:paraId="743B6E7B" w14:textId="77777777" w:rsidR="00C2615D" w:rsidRDefault="00C2615D" w:rsidP="00564821">
      <w:pPr>
        <w:jc w:val="both"/>
        <w:rPr>
          <w:rFonts w:ascii="Arial" w:hAnsi="Arial" w:cs="Arial"/>
          <w:b/>
        </w:rPr>
      </w:pPr>
    </w:p>
    <w:p w14:paraId="082B5929" w14:textId="77777777" w:rsidR="008D588A" w:rsidRDefault="00E84D5D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</w:t>
      </w:r>
      <w:r w:rsidR="00C870D6">
        <w:rPr>
          <w:rFonts w:ascii="Arial" w:hAnsi="Arial" w:cs="Arial"/>
          <w:b/>
        </w:rPr>
        <w:t xml:space="preserve"> br.18</w:t>
      </w:r>
    </w:p>
    <w:p w14:paraId="1B248B2D" w14:textId="77777777" w:rsidR="008D588A" w:rsidRDefault="008D588A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Razlike zbog konverzije</w:t>
      </w:r>
    </w:p>
    <w:p w14:paraId="5B8AC1EB" w14:textId="278CD762" w:rsidR="00911352" w:rsidRDefault="008D588A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B1637E" w:rsidRPr="00C2615D">
        <w:rPr>
          <w:rFonts w:ascii="Arial" w:hAnsi="Arial" w:cs="Arial"/>
          <w:bCs/>
        </w:rPr>
        <w:t>azli</w:t>
      </w:r>
      <w:r w:rsidR="00C34836">
        <w:rPr>
          <w:rFonts w:ascii="Arial" w:hAnsi="Arial" w:cs="Arial"/>
          <w:bCs/>
        </w:rPr>
        <w:t>ka</w:t>
      </w:r>
      <w:r w:rsidR="00B1637E" w:rsidRPr="00C2615D">
        <w:rPr>
          <w:rFonts w:ascii="Arial" w:hAnsi="Arial" w:cs="Arial"/>
          <w:bCs/>
        </w:rPr>
        <w:t xml:space="preserve"> </w:t>
      </w:r>
      <w:r w:rsidR="004579B7" w:rsidRPr="00C2615D">
        <w:rPr>
          <w:rFonts w:ascii="Arial" w:hAnsi="Arial" w:cs="Arial"/>
          <w:bCs/>
        </w:rPr>
        <w:t>stanja na dan 01. siječnja 2023. u odnosu na dan 31.</w:t>
      </w:r>
      <w:r w:rsidR="00C2615D" w:rsidRPr="00C2615D">
        <w:rPr>
          <w:rFonts w:ascii="Arial" w:hAnsi="Arial" w:cs="Arial"/>
          <w:bCs/>
        </w:rPr>
        <w:t xml:space="preserve">prosinca 2022. </w:t>
      </w:r>
      <w:r w:rsidR="00065B43">
        <w:rPr>
          <w:rFonts w:ascii="Arial" w:hAnsi="Arial" w:cs="Arial"/>
          <w:bCs/>
        </w:rPr>
        <w:t>godine</w:t>
      </w:r>
      <w:r w:rsidR="00717635">
        <w:rPr>
          <w:rFonts w:ascii="Arial" w:hAnsi="Arial" w:cs="Arial"/>
          <w:bCs/>
        </w:rPr>
        <w:t>.</w:t>
      </w:r>
    </w:p>
    <w:p w14:paraId="52F49B41" w14:textId="5F4A50A6" w:rsidR="007647A6" w:rsidRDefault="00A12178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Zbog </w:t>
      </w:r>
      <w:r w:rsidR="00EA5105">
        <w:rPr>
          <w:rFonts w:ascii="Arial" w:hAnsi="Arial" w:cs="Arial"/>
          <w:bCs/>
        </w:rPr>
        <w:t xml:space="preserve">konverzije </w:t>
      </w:r>
      <w:r w:rsidR="000926B1">
        <w:rPr>
          <w:rFonts w:ascii="Arial" w:hAnsi="Arial" w:cs="Arial"/>
          <w:bCs/>
        </w:rPr>
        <w:t>kuna u euro, po službenom tečaju od 7,53450 kuna za euro</w:t>
      </w:r>
      <w:r w:rsidR="00F14ECA">
        <w:rPr>
          <w:rFonts w:ascii="Arial" w:hAnsi="Arial" w:cs="Arial"/>
          <w:bCs/>
        </w:rPr>
        <w:t xml:space="preserve">, došlo je do razlika na pojedinim pozicijama </w:t>
      </w:r>
      <w:r w:rsidR="00791C99">
        <w:rPr>
          <w:rFonts w:ascii="Arial" w:hAnsi="Arial" w:cs="Arial"/>
          <w:bCs/>
        </w:rPr>
        <w:t xml:space="preserve">u obrascu </w:t>
      </w:r>
      <w:r w:rsidR="00F32430">
        <w:rPr>
          <w:rFonts w:ascii="Arial" w:hAnsi="Arial" w:cs="Arial"/>
          <w:bCs/>
        </w:rPr>
        <w:t>B</w:t>
      </w:r>
      <w:r w:rsidR="00791C99">
        <w:rPr>
          <w:rFonts w:ascii="Arial" w:hAnsi="Arial" w:cs="Arial"/>
          <w:bCs/>
        </w:rPr>
        <w:t>ilanca</w:t>
      </w:r>
      <w:r w:rsidR="001727D4">
        <w:rPr>
          <w:rFonts w:ascii="Arial" w:hAnsi="Arial" w:cs="Arial"/>
          <w:bCs/>
        </w:rPr>
        <w:t xml:space="preserve"> u odnosu na </w:t>
      </w:r>
      <w:r w:rsidR="00281842">
        <w:rPr>
          <w:rFonts w:ascii="Arial" w:hAnsi="Arial" w:cs="Arial"/>
          <w:bCs/>
        </w:rPr>
        <w:t>podatke u poslovnim knjigama</w:t>
      </w:r>
      <w:r w:rsidR="00C94ABF">
        <w:rPr>
          <w:rFonts w:ascii="Arial" w:hAnsi="Arial" w:cs="Arial"/>
          <w:bCs/>
        </w:rPr>
        <w:t xml:space="preserve"> na dan 01.01.2023.</w:t>
      </w:r>
      <w:r w:rsidR="00281842">
        <w:rPr>
          <w:rFonts w:ascii="Arial" w:hAnsi="Arial" w:cs="Arial"/>
          <w:bCs/>
        </w:rPr>
        <w:t xml:space="preserve"> </w:t>
      </w:r>
      <w:r w:rsidR="007A07FB">
        <w:rPr>
          <w:rFonts w:ascii="Arial" w:hAnsi="Arial" w:cs="Arial"/>
          <w:bCs/>
        </w:rPr>
        <w:t xml:space="preserve">Do razlika je </w:t>
      </w:r>
      <w:r w:rsidR="008916FE">
        <w:rPr>
          <w:rFonts w:ascii="Arial" w:hAnsi="Arial" w:cs="Arial"/>
          <w:bCs/>
        </w:rPr>
        <w:t>došlo zbog usklađenja analitičkih</w:t>
      </w:r>
      <w:r w:rsidR="0049249B">
        <w:rPr>
          <w:rFonts w:ascii="Arial" w:hAnsi="Arial" w:cs="Arial"/>
          <w:bCs/>
        </w:rPr>
        <w:t xml:space="preserve"> konta nefinancijske i financijske imovine</w:t>
      </w:r>
      <w:r w:rsidR="008916FE">
        <w:rPr>
          <w:rFonts w:ascii="Arial" w:hAnsi="Arial" w:cs="Arial"/>
          <w:bCs/>
        </w:rPr>
        <w:t xml:space="preserve"> i sintetičkih evidencija </w:t>
      </w:r>
      <w:r w:rsidR="00ED378D">
        <w:rPr>
          <w:rFonts w:ascii="Arial" w:hAnsi="Arial" w:cs="Arial"/>
          <w:bCs/>
        </w:rPr>
        <w:t xml:space="preserve">u poslovnim knjigama na prijelazu </w:t>
      </w:r>
      <w:r w:rsidR="00F03497">
        <w:rPr>
          <w:rFonts w:ascii="Arial" w:hAnsi="Arial" w:cs="Arial"/>
          <w:bCs/>
        </w:rPr>
        <w:t>31.12.2022.</w:t>
      </w:r>
      <w:r w:rsidR="008F6EDD">
        <w:rPr>
          <w:rFonts w:ascii="Arial" w:hAnsi="Arial" w:cs="Arial"/>
          <w:bCs/>
        </w:rPr>
        <w:t xml:space="preserve"> i 01.01.</w:t>
      </w:r>
      <w:r w:rsidR="00ED378D">
        <w:rPr>
          <w:rFonts w:ascii="Arial" w:hAnsi="Arial" w:cs="Arial"/>
          <w:bCs/>
        </w:rPr>
        <w:t xml:space="preserve"> 2023. godin</w:t>
      </w:r>
      <w:r w:rsidR="008F6EDD">
        <w:rPr>
          <w:rFonts w:ascii="Arial" w:hAnsi="Arial" w:cs="Arial"/>
          <w:bCs/>
        </w:rPr>
        <w:t>e</w:t>
      </w:r>
      <w:r w:rsidR="00B67923">
        <w:rPr>
          <w:rFonts w:ascii="Arial" w:hAnsi="Arial" w:cs="Arial"/>
          <w:bCs/>
        </w:rPr>
        <w:t xml:space="preserve">, </w:t>
      </w:r>
      <w:r w:rsidR="00E90004">
        <w:rPr>
          <w:rFonts w:ascii="Arial" w:hAnsi="Arial" w:cs="Arial"/>
          <w:bCs/>
        </w:rPr>
        <w:t xml:space="preserve">zbog usklađivanja </w:t>
      </w:r>
      <w:r w:rsidR="009A3837">
        <w:rPr>
          <w:rFonts w:ascii="Arial" w:hAnsi="Arial" w:cs="Arial"/>
          <w:bCs/>
        </w:rPr>
        <w:t xml:space="preserve">bilančnih ravnoteža razreda 0 i </w:t>
      </w:r>
      <w:r w:rsidR="00E06940">
        <w:rPr>
          <w:rFonts w:ascii="Arial" w:hAnsi="Arial" w:cs="Arial"/>
          <w:bCs/>
        </w:rPr>
        <w:t xml:space="preserve">Vlastitih izvora 91, te zbog </w:t>
      </w:r>
      <w:r w:rsidR="00D128FF">
        <w:rPr>
          <w:rFonts w:ascii="Arial" w:hAnsi="Arial" w:cs="Arial"/>
          <w:bCs/>
        </w:rPr>
        <w:t xml:space="preserve">razlike </w:t>
      </w:r>
      <w:r w:rsidR="0036587D">
        <w:rPr>
          <w:rFonts w:ascii="Arial" w:hAnsi="Arial" w:cs="Arial"/>
          <w:bCs/>
        </w:rPr>
        <w:t xml:space="preserve">na teret viška </w:t>
      </w:r>
      <w:r w:rsidR="00F03497">
        <w:rPr>
          <w:rFonts w:ascii="Arial" w:hAnsi="Arial" w:cs="Arial"/>
          <w:bCs/>
        </w:rPr>
        <w:t xml:space="preserve">prihoda na 922. </w:t>
      </w:r>
      <w:r w:rsidR="00B10929">
        <w:rPr>
          <w:rFonts w:ascii="Arial" w:hAnsi="Arial" w:cs="Arial"/>
          <w:bCs/>
        </w:rPr>
        <w:t>Detaljnije je prikazano u tablici:</w:t>
      </w:r>
    </w:p>
    <w:tbl>
      <w:tblPr>
        <w:tblW w:w="9495" w:type="dxa"/>
        <w:tblInd w:w="-103" w:type="dxa"/>
        <w:tblLook w:val="04A0" w:firstRow="1" w:lastRow="0" w:firstColumn="1" w:lastColumn="0" w:noHBand="0" w:noVBand="1"/>
      </w:tblPr>
      <w:tblGrid>
        <w:gridCol w:w="16"/>
        <w:gridCol w:w="952"/>
        <w:gridCol w:w="120"/>
        <w:gridCol w:w="153"/>
        <w:gridCol w:w="116"/>
        <w:gridCol w:w="1617"/>
        <w:gridCol w:w="116"/>
        <w:gridCol w:w="1385"/>
        <w:gridCol w:w="108"/>
        <w:gridCol w:w="1317"/>
        <w:gridCol w:w="151"/>
        <w:gridCol w:w="1280"/>
        <w:gridCol w:w="108"/>
        <w:gridCol w:w="954"/>
        <w:gridCol w:w="118"/>
        <w:gridCol w:w="1024"/>
        <w:gridCol w:w="108"/>
      </w:tblGrid>
      <w:tr w:rsidR="00CC5D65" w14:paraId="0B11AF5B" w14:textId="77777777" w:rsidTr="00FE4BD3">
        <w:trPr>
          <w:gridBefore w:val="1"/>
          <w:wBefore w:w="16" w:type="dxa"/>
          <w:trHeight w:val="159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102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B5EB1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68E" w14:textId="5ACBF8F9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71A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C168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67E8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0CE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A4A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</w:tr>
      <w:tr w:rsidR="00CC5D65" w14:paraId="13F4DDDF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AB3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0DB98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80D" w14:textId="0F1FA3F0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817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B21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37C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55D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880C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</w:tr>
      <w:tr w:rsidR="00CC5D65" w14:paraId="6EB1A910" w14:textId="77777777" w:rsidTr="00FE4BD3">
        <w:trPr>
          <w:gridBefore w:val="1"/>
          <w:wBefore w:w="16" w:type="dxa"/>
          <w:trHeight w:val="80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7F9E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3CB98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E71" w14:textId="6DD7137E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47CF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A54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FBB6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76B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8EB" w14:textId="77777777" w:rsidR="00CC5D65" w:rsidRDefault="00CC5D65" w:rsidP="00564821">
            <w:pPr>
              <w:jc w:val="both"/>
              <w:rPr>
                <w:sz w:val="20"/>
                <w:szCs w:val="20"/>
              </w:rPr>
            </w:pPr>
          </w:p>
        </w:tc>
      </w:tr>
      <w:tr w:rsidR="00CC5D65" w14:paraId="32CD8846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30AFC5C5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Stupac1</w:t>
            </w:r>
          </w:p>
        </w:tc>
        <w:tc>
          <w:tcPr>
            <w:tcW w:w="275" w:type="dxa"/>
            <w:gridSpan w:val="2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</w:tcPr>
          <w:p w14:paraId="2E747503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6242F340" w14:textId="24A0233C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Stupac2</w:t>
            </w:r>
          </w:p>
        </w:tc>
        <w:tc>
          <w:tcPr>
            <w:tcW w:w="1493" w:type="dxa"/>
            <w:gridSpan w:val="2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3D7AD28A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Stupac3</w:t>
            </w:r>
          </w:p>
        </w:tc>
        <w:tc>
          <w:tcPr>
            <w:tcW w:w="1317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2BEBCE60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Stupac4</w:t>
            </w:r>
          </w:p>
        </w:tc>
        <w:tc>
          <w:tcPr>
            <w:tcW w:w="1385" w:type="dxa"/>
            <w:gridSpan w:val="3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10591557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Stupac5</w:t>
            </w:r>
          </w:p>
        </w:tc>
        <w:tc>
          <w:tcPr>
            <w:tcW w:w="1072" w:type="dxa"/>
            <w:gridSpan w:val="2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FF"/>
            <w:noWrap/>
            <w:vAlign w:val="bottom"/>
            <w:hideMark/>
          </w:tcPr>
          <w:p w14:paraId="449463A0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Stupac6</w:t>
            </w:r>
          </w:p>
        </w:tc>
        <w:tc>
          <w:tcPr>
            <w:tcW w:w="1132" w:type="dxa"/>
            <w:gridSpan w:val="2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FFFF"/>
            <w:noWrap/>
            <w:vAlign w:val="bottom"/>
            <w:hideMark/>
          </w:tcPr>
          <w:p w14:paraId="0BBED3BC" w14:textId="77777777" w:rsidR="00CC5D65" w:rsidRDefault="00CC5D65" w:rsidP="00564821">
            <w:pPr>
              <w:jc w:val="both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Stupac7</w:t>
            </w:r>
          </w:p>
        </w:tc>
      </w:tr>
      <w:tr w:rsidR="00CC5D65" w14:paraId="071B8AE8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F1A905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5E09E94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EDD225" w14:textId="1A493771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Imovina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E2E8A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Stanje 31.12.2022.</w:t>
            </w:r>
          </w:p>
          <w:p w14:paraId="04A3D187" w14:textId="7506BF39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 kunama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A9D3BB" w14:textId="42C27FD2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Konverzija kuna u euro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2C5C70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Početno stanje 01.01.2023.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E314A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Razlika- dugovno</w:t>
            </w:r>
          </w:p>
        </w:tc>
        <w:tc>
          <w:tcPr>
            <w:tcW w:w="1142" w:type="dxa"/>
            <w:gridSpan w:val="2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9CD81C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Razlika potražno</w:t>
            </w:r>
          </w:p>
        </w:tc>
      </w:tr>
      <w:tr w:rsidR="00CC5D65" w14:paraId="2128E7B7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ACD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2023A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782B" w14:textId="47132A13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Nefinancijska imovina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FA5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459.693,89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B019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61.011,86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6B2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61.011,89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6ABF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1393" w14:textId="7A2714D6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2C669EA5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0DE1" w14:textId="45014F94" w:rsidR="00CC5D65" w:rsidRDefault="00334717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="00CC5D65">
              <w:rPr>
                <w:rFonts w:ascii="Aptos Narrow" w:hAnsi="Aptos Narrow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CFE3C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45A3" w14:textId="29EDD7D0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Uredska oprema i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namj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29F9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846.283,09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124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112.321,07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BA1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112.321,09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AF8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4C81" w14:textId="48574BFB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2D529169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F91A" w14:textId="5E56C252" w:rsidR="00CC5D65" w:rsidRDefault="00334717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="00CC5D65">
              <w:rPr>
                <w:rFonts w:ascii="Aptos Narrow" w:hAnsi="Aptos Narrow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5938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607F" w14:textId="76E57926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Instrum.uređaji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, strojevi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99F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56.707,04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6A8E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7.526,32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8A8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7.526,33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0935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02C2" w14:textId="580AA7EF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45E51B4A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472E" w14:textId="4169B0A9" w:rsidR="00CC5D65" w:rsidRDefault="00334717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="00CC5D65">
              <w:rPr>
                <w:rFonts w:ascii="Aptos Narrow" w:hAnsi="Aptos Narrow"/>
                <w:color w:val="000000"/>
                <w:sz w:val="22"/>
                <w:szCs w:val="22"/>
              </w:rPr>
              <w:t>2922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0998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87F9" w14:textId="620E03CF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Ispravak vrijednosti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5A9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1.182.811,46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F5F4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156.986,06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5EF8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156.986,08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14F3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ABB5" w14:textId="2BD96E2B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425C24FA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CC3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AC63F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F848" w14:textId="5EF99EB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Sitni inventar u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uptrebi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BDE0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DF93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FE8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72E7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F22B" w14:textId="4F642224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6AA0C850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5DFD" w14:textId="1F9F0546" w:rsidR="00CC5D65" w:rsidRDefault="001B449B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="00CC5D65"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115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A493" w14:textId="4FFD0F5C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Sitni inventar u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uptrebi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8A4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115.901,41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58D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15.382,76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9BE8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15.382,71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DEA9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C8E5" w14:textId="4F7E9399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6921DF5D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9E13" w14:textId="329A014F" w:rsidR="00CC5D65" w:rsidRDefault="001B449B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="00CC5D65">
              <w:rPr>
                <w:rFonts w:ascii="Aptos Narrow" w:hAnsi="Aptos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EA0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FFCA" w14:textId="066D5588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Ispravak vrij. SI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CDC4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115.901,41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827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15.382,76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D3CA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15.382,71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CDF2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5D10" w14:textId="45F12A3A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7D21ECBC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E799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C0DE8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B93D" w14:textId="57C518FA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Financijaka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imovina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3F23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164.370,69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03B8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21.815,74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9A2A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21.815,73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FB8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1B58" w14:textId="4FEDBE26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3A314A1C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EC8C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43A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8143" w14:textId="6EA491CB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Kontinuirani rashodi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CF5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56.759,40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1AF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7.533,27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5D67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7.533,26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07B2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F1E2" w14:textId="3A79F85B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3F4EB1E1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FA4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0+1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70D64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258D" w14:textId="53D43D0D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IMOVINA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7A4B" w14:textId="129FF485" w:rsidR="00CC5D65" w:rsidRDefault="00FE4BD3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624.064,58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9AE9" w14:textId="1D7449C4" w:rsidR="00CC5D65" w:rsidRDefault="00FE4BD3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82.827,60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7CCA9" w14:textId="113EA791" w:rsidR="00CC5D65" w:rsidRDefault="00FE4BD3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82.827,62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5E83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AFD1" w14:textId="1AA43C51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CC5D65" w14:paraId="5F3FB876" w14:textId="77777777" w:rsidTr="00FE4BD3">
        <w:trPr>
          <w:gridAfter w:val="1"/>
          <w:wAfter w:w="108" w:type="dxa"/>
          <w:trHeight w:val="3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0ACD1E" w14:textId="29AAA573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FCB409A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6BE392" w14:textId="559427E4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Obveze i Izvori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06328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Stanje u kunama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CE3540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Konverzija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DD8C8E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Početno stanje 01.01.2023.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65CED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Razlika- dugovno</w:t>
            </w:r>
          </w:p>
        </w:tc>
        <w:tc>
          <w:tcPr>
            <w:tcW w:w="1142" w:type="dxa"/>
            <w:gridSpan w:val="2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BC20B6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Razlika potražno</w:t>
            </w:r>
          </w:p>
        </w:tc>
      </w:tr>
      <w:tr w:rsidR="00CC5D65" w14:paraId="01FC71BA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789C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227B3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C82C" w14:textId="39B28FC4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Obveze i Izvori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0F1B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92.667,97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77D1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12.299,15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742D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12.299,15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C7BA" w14:textId="129A0532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FB32" w14:textId="77777777" w:rsidR="00CC5D65" w:rsidRDefault="00CC5D65" w:rsidP="00FD381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0,00</w:t>
            </w:r>
          </w:p>
        </w:tc>
      </w:tr>
      <w:tr w:rsidR="00CC5D65" w14:paraId="07F73BA4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A7C3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1E547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D0B7" w14:textId="75A7840D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Obveze za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mater.rash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C409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38.273,75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7903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5.079,80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6FF0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5.079,79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09CD" w14:textId="3FCD8175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DF7B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-0,01</w:t>
            </w:r>
          </w:p>
        </w:tc>
      </w:tr>
      <w:tr w:rsidR="00CC5D65" w14:paraId="6A3E56D5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C0C5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FF58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1643" w14:textId="7A2E6BA8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Obveze za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fin.rashode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FA3A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351,89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86DE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46,70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DFF8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46,71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0774" w14:textId="49EC3D2B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EF97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0,01</w:t>
            </w:r>
          </w:p>
        </w:tc>
      </w:tr>
      <w:tr w:rsidR="00CC5D65" w14:paraId="4655979C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278E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B0C6C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6E4B" w14:textId="4DA9DFC9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Vlastiti izvori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08E5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531.396,61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DDE8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70.528,45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E745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70.528,47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21AE" w14:textId="06F38865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BAFE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0,02</w:t>
            </w:r>
          </w:p>
        </w:tc>
      </w:tr>
      <w:tr w:rsidR="00CC5D65" w14:paraId="7D88EBAD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26E5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F8C1B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F641" w14:textId="157E4025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Vlastiti izvori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1E5D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459.693,89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AE47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61.011,86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A120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61.011,89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1F78" w14:textId="47C44223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0613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0,03</w:t>
            </w:r>
          </w:p>
        </w:tc>
      </w:tr>
      <w:tr w:rsidR="00CC5D65" w14:paraId="67C97A66" w14:textId="77777777" w:rsidTr="00FE4BD3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57D1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9221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26A5F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AC17" w14:textId="1AAA71F4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Višak prihoda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poslov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CCEA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97.400,28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0FB0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12.927,24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B53E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12.927,23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F15B" w14:textId="4F2A2270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DDC3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-0,01</w:t>
            </w:r>
          </w:p>
        </w:tc>
      </w:tr>
      <w:tr w:rsidR="00CC5D65" w14:paraId="01CBF90D" w14:textId="77777777" w:rsidTr="00780BC9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8A79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2+9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71D9D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219E" w14:textId="3827D585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OBVEZE I VLASTITI IZVORI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862F" w14:textId="2BAF2478" w:rsidR="00CC5D65" w:rsidRDefault="00FE4BD3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624.064,58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A679" w14:textId="7916CB4F" w:rsidR="00CC5D65" w:rsidRDefault="00FE4BD3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82.827,60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2AED" w14:textId="7A828CFB" w:rsidR="00CC5D65" w:rsidRDefault="00FE4BD3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82.827,62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9E11" w14:textId="1516F0DC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AF17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0,02</w:t>
            </w:r>
          </w:p>
        </w:tc>
      </w:tr>
      <w:tr w:rsidR="00CC5D65" w14:paraId="16412646" w14:textId="77777777" w:rsidTr="00780BC9">
        <w:trPr>
          <w:gridBefore w:val="1"/>
          <w:wBefore w:w="16" w:type="dxa"/>
          <w:trHeight w:val="3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0639" w14:textId="2C22D2B5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A7187" w14:textId="77777777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6969" w14:textId="4EFA38BA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D486" w14:textId="705F22A4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FF1B" w14:textId="0CC0DD13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9442" w14:textId="5DEDE02B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A5EF" w14:textId="09BDA94A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8243" w14:textId="4C14434A" w:rsidR="00CC5D65" w:rsidRDefault="00CC5D65" w:rsidP="00F1060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</w:tbl>
    <w:p w14:paraId="5A28A448" w14:textId="77777777" w:rsidR="000F53DD" w:rsidRDefault="000F53DD" w:rsidP="00564821">
      <w:pPr>
        <w:jc w:val="both"/>
        <w:rPr>
          <w:rFonts w:ascii="Arial" w:hAnsi="Arial" w:cs="Arial"/>
          <w:bCs/>
        </w:rPr>
      </w:pPr>
    </w:p>
    <w:p w14:paraId="6AB7C827" w14:textId="77777777" w:rsidR="007D1907" w:rsidRPr="00C2615D" w:rsidRDefault="007D1907" w:rsidP="00564821">
      <w:pPr>
        <w:jc w:val="both"/>
        <w:rPr>
          <w:rFonts w:ascii="Arial" w:hAnsi="Arial" w:cs="Arial"/>
          <w:bCs/>
        </w:rPr>
      </w:pPr>
    </w:p>
    <w:p w14:paraId="6834EC31" w14:textId="528BBF68" w:rsidR="00AE17D4" w:rsidRPr="006F10DD" w:rsidRDefault="00B87AC8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F8537B">
        <w:rPr>
          <w:rFonts w:ascii="Arial" w:hAnsi="Arial" w:cs="Arial"/>
          <w:b/>
        </w:rPr>
        <w:t>9</w:t>
      </w:r>
    </w:p>
    <w:p w14:paraId="3E345A9D" w14:textId="2825AC56" w:rsidR="00B87AC8" w:rsidRPr="006F10DD" w:rsidRDefault="005F2C2F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01</w:t>
      </w:r>
      <w:r w:rsidR="005E5FA6">
        <w:rPr>
          <w:rFonts w:ascii="Arial" w:hAnsi="Arial" w:cs="Arial"/>
          <w:b/>
        </w:rPr>
        <w:t>2</w:t>
      </w:r>
      <w:r w:rsidR="00B87AC8" w:rsidRPr="006F10DD">
        <w:rPr>
          <w:rFonts w:ascii="Arial" w:hAnsi="Arial" w:cs="Arial"/>
          <w:b/>
        </w:rPr>
        <w:t>-</w:t>
      </w:r>
      <w:r w:rsidR="009F576D">
        <w:rPr>
          <w:rFonts w:ascii="Arial" w:hAnsi="Arial" w:cs="Arial"/>
          <w:b/>
        </w:rPr>
        <w:t>Nematerijalna</w:t>
      </w:r>
      <w:r w:rsidR="00B87AC8" w:rsidRPr="006F10DD">
        <w:rPr>
          <w:rFonts w:ascii="Arial" w:hAnsi="Arial" w:cs="Arial"/>
          <w:b/>
        </w:rPr>
        <w:t xml:space="preserve"> imovina</w:t>
      </w:r>
    </w:p>
    <w:p w14:paraId="19728083" w14:textId="0B60568B" w:rsidR="00907C5B" w:rsidRPr="006F10DD" w:rsidRDefault="00B87AC8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 xml:space="preserve">Ulaganje u uređenje tornja na zgradi Hrvatskog doma, čiji je vlasnik </w:t>
      </w:r>
      <w:r w:rsidR="00486BD2">
        <w:rPr>
          <w:rFonts w:ascii="Arial" w:hAnsi="Arial" w:cs="Arial"/>
          <w:bCs/>
        </w:rPr>
        <w:t>G</w:t>
      </w:r>
      <w:r w:rsidRPr="006F10DD">
        <w:rPr>
          <w:rFonts w:ascii="Arial" w:hAnsi="Arial" w:cs="Arial"/>
          <w:bCs/>
        </w:rPr>
        <w:t xml:space="preserve">rad Križevci u iznosu od </w:t>
      </w:r>
      <w:r w:rsidR="009F576D">
        <w:rPr>
          <w:rFonts w:ascii="Arial" w:hAnsi="Arial" w:cs="Arial"/>
          <w:bCs/>
        </w:rPr>
        <w:t>26.486,50 eura</w:t>
      </w:r>
      <w:r w:rsidRPr="006F10DD">
        <w:rPr>
          <w:rFonts w:ascii="Arial" w:hAnsi="Arial" w:cs="Arial"/>
          <w:bCs/>
        </w:rPr>
        <w:t xml:space="preserve"> evidentirano je kontu ulaganje u tuđu imovinu radi prava korištenja.</w:t>
      </w:r>
    </w:p>
    <w:p w14:paraId="5155EF4A" w14:textId="645A8D89" w:rsidR="00AE17D4" w:rsidRPr="006F10DD" w:rsidRDefault="009E1743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</w:t>
      </w:r>
      <w:r w:rsidR="00F8537B">
        <w:rPr>
          <w:rFonts w:ascii="Arial" w:hAnsi="Arial" w:cs="Arial"/>
          <w:b/>
        </w:rPr>
        <w:t>20</w:t>
      </w:r>
    </w:p>
    <w:p w14:paraId="68C9BB67" w14:textId="50B4F8D2" w:rsidR="00AE17D4" w:rsidRPr="006F10DD" w:rsidRDefault="005F2C2F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022 i 02922</w:t>
      </w:r>
      <w:r w:rsidR="00AE17D4" w:rsidRPr="006F10DD">
        <w:rPr>
          <w:rFonts w:ascii="Arial" w:hAnsi="Arial" w:cs="Arial"/>
          <w:b/>
        </w:rPr>
        <w:t xml:space="preserve">- </w:t>
      </w:r>
      <w:r w:rsidR="00B87AC8" w:rsidRPr="006F10DD">
        <w:rPr>
          <w:rFonts w:ascii="Arial" w:hAnsi="Arial" w:cs="Arial"/>
          <w:b/>
        </w:rPr>
        <w:t>Postrojenja i oprema</w:t>
      </w:r>
      <w:r w:rsidR="00AE17D4" w:rsidRPr="006F10DD">
        <w:rPr>
          <w:rFonts w:ascii="Arial" w:hAnsi="Arial" w:cs="Arial"/>
        </w:rPr>
        <w:t xml:space="preserve"> </w:t>
      </w:r>
    </w:p>
    <w:p w14:paraId="705A9BAF" w14:textId="56D4DDBE" w:rsidR="00B87AC8" w:rsidRDefault="00C956A8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</w:rPr>
        <w:t xml:space="preserve">Na </w:t>
      </w:r>
      <w:r w:rsidR="00E8071B">
        <w:rPr>
          <w:rFonts w:ascii="Arial" w:hAnsi="Arial" w:cs="Arial"/>
        </w:rPr>
        <w:t>odjeljku</w:t>
      </w:r>
      <w:r w:rsidRPr="006F10DD">
        <w:rPr>
          <w:rFonts w:ascii="Arial" w:hAnsi="Arial" w:cs="Arial"/>
        </w:rPr>
        <w:t xml:space="preserve"> </w:t>
      </w:r>
      <w:r w:rsidR="00E8071B">
        <w:rPr>
          <w:rFonts w:ascii="Arial" w:hAnsi="Arial" w:cs="Arial"/>
        </w:rPr>
        <w:t xml:space="preserve">0227 </w:t>
      </w:r>
      <w:r w:rsidR="00E8071B">
        <w:rPr>
          <w:rFonts w:ascii="Arial" w:hAnsi="Arial" w:cs="Arial"/>
          <w:bCs/>
        </w:rPr>
        <w:t xml:space="preserve">Uređaji, strojevi i oprema za ostale namjene nabavljeno je imovine u vrijednosti </w:t>
      </w:r>
      <w:r w:rsidR="005277E8">
        <w:rPr>
          <w:rFonts w:ascii="Arial" w:hAnsi="Arial" w:cs="Arial"/>
          <w:bCs/>
        </w:rPr>
        <w:t>55.860,00</w:t>
      </w:r>
      <w:r w:rsidR="00E8071B">
        <w:rPr>
          <w:rFonts w:ascii="Arial" w:hAnsi="Arial" w:cs="Arial"/>
          <w:bCs/>
        </w:rPr>
        <w:t xml:space="preserve">. </w:t>
      </w:r>
      <w:r w:rsidR="003256F6">
        <w:rPr>
          <w:rFonts w:ascii="Arial" w:hAnsi="Arial" w:cs="Arial"/>
          <w:bCs/>
        </w:rPr>
        <w:t>Radi se o nabavljanom suvremenom prijenosnom kinu i dvije školske ploče</w:t>
      </w:r>
      <w:r w:rsidR="00964853">
        <w:rPr>
          <w:rFonts w:ascii="Arial" w:hAnsi="Arial" w:cs="Arial"/>
          <w:bCs/>
        </w:rPr>
        <w:t>.</w:t>
      </w:r>
      <w:r w:rsidR="00CC53BA">
        <w:rPr>
          <w:rFonts w:ascii="Arial" w:hAnsi="Arial" w:cs="Arial"/>
          <w:bCs/>
        </w:rPr>
        <w:t xml:space="preserve"> </w:t>
      </w:r>
      <w:r w:rsidR="00E8071B">
        <w:rPr>
          <w:rFonts w:ascii="Arial" w:hAnsi="Arial" w:cs="Arial"/>
          <w:bCs/>
        </w:rPr>
        <w:t>Nakon provedenog ispravka vrijednosti za 202</w:t>
      </w:r>
      <w:r w:rsidR="001A6DD5">
        <w:rPr>
          <w:rFonts w:ascii="Arial" w:hAnsi="Arial" w:cs="Arial"/>
          <w:bCs/>
        </w:rPr>
        <w:t>3</w:t>
      </w:r>
      <w:r w:rsidR="00E8071B">
        <w:rPr>
          <w:rFonts w:ascii="Arial" w:hAnsi="Arial" w:cs="Arial"/>
          <w:bCs/>
        </w:rPr>
        <w:t xml:space="preserve">. godinu ukupna vrijednost postrojenja i opreme se </w:t>
      </w:r>
      <w:r w:rsidR="003256F6">
        <w:rPr>
          <w:rFonts w:ascii="Arial" w:hAnsi="Arial" w:cs="Arial"/>
          <w:bCs/>
        </w:rPr>
        <w:t>povećala</w:t>
      </w:r>
      <w:r w:rsidR="00E8071B">
        <w:rPr>
          <w:rFonts w:ascii="Arial" w:hAnsi="Arial" w:cs="Arial"/>
          <w:bCs/>
        </w:rPr>
        <w:t>.</w:t>
      </w:r>
    </w:p>
    <w:p w14:paraId="21B4E682" w14:textId="24911C47" w:rsidR="00136711" w:rsidRPr="00136711" w:rsidRDefault="00136711" w:rsidP="00564821">
      <w:pPr>
        <w:jc w:val="both"/>
        <w:rPr>
          <w:rFonts w:ascii="Arial" w:hAnsi="Arial" w:cs="Arial"/>
          <w:b/>
        </w:rPr>
      </w:pPr>
      <w:r w:rsidRPr="00136711">
        <w:rPr>
          <w:rFonts w:ascii="Arial" w:hAnsi="Arial" w:cs="Arial"/>
          <w:b/>
        </w:rPr>
        <w:t>Bilješka br.21</w:t>
      </w:r>
    </w:p>
    <w:p w14:paraId="29F367BE" w14:textId="305BCF32" w:rsidR="00136711" w:rsidRDefault="00CD2646" w:rsidP="00564821">
      <w:pPr>
        <w:jc w:val="both"/>
        <w:rPr>
          <w:rFonts w:ascii="Arial" w:hAnsi="Arial" w:cs="Arial"/>
          <w:b/>
          <w:bCs/>
        </w:rPr>
      </w:pPr>
      <w:r w:rsidRPr="00FE5F3B">
        <w:rPr>
          <w:rFonts w:ascii="Arial" w:hAnsi="Arial" w:cs="Arial"/>
          <w:b/>
          <w:bCs/>
        </w:rPr>
        <w:t>Šifra 026 i 02926 – Nematerijalna proizvedena imovina</w:t>
      </w:r>
    </w:p>
    <w:p w14:paraId="6AD9A22F" w14:textId="26973D10" w:rsidR="0041498F" w:rsidRDefault="00FE5F3B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odjeljku 0262 Ulaganje u računalne programe </w:t>
      </w:r>
      <w:r w:rsidR="00DF53B4">
        <w:rPr>
          <w:rFonts w:ascii="Arial" w:hAnsi="Arial" w:cs="Arial"/>
          <w:bCs/>
        </w:rPr>
        <w:t>nabavljane su nadogradnje za računalne programe koji se koriste u obrazovanju odraslih.</w:t>
      </w:r>
      <w:r w:rsidR="0041498F" w:rsidRPr="0041498F">
        <w:rPr>
          <w:rFonts w:ascii="Arial" w:hAnsi="Arial" w:cs="Arial"/>
          <w:bCs/>
        </w:rPr>
        <w:t xml:space="preserve"> </w:t>
      </w:r>
      <w:r w:rsidR="0041498F">
        <w:rPr>
          <w:rFonts w:ascii="Arial" w:hAnsi="Arial" w:cs="Arial"/>
          <w:bCs/>
        </w:rPr>
        <w:t xml:space="preserve">Nakon provedenog ispravka vrijednosti za 2023. godinu ukupna vrijednost </w:t>
      </w:r>
      <w:r w:rsidR="000509C9">
        <w:rPr>
          <w:rFonts w:ascii="Arial" w:hAnsi="Arial" w:cs="Arial"/>
          <w:bCs/>
        </w:rPr>
        <w:t>nematerijalne proizvedene imovine</w:t>
      </w:r>
      <w:r w:rsidR="0041498F">
        <w:rPr>
          <w:rFonts w:ascii="Arial" w:hAnsi="Arial" w:cs="Arial"/>
          <w:bCs/>
        </w:rPr>
        <w:t xml:space="preserve"> se povećala.</w:t>
      </w:r>
    </w:p>
    <w:p w14:paraId="653DE443" w14:textId="39B4D416" w:rsidR="00C77405" w:rsidRDefault="009E1743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5B4B">
        <w:rPr>
          <w:rFonts w:ascii="Arial" w:hAnsi="Arial" w:cs="Arial"/>
          <w:b/>
        </w:rPr>
        <w:t>2</w:t>
      </w:r>
      <w:r w:rsidR="000509C9">
        <w:rPr>
          <w:rFonts w:ascii="Arial" w:hAnsi="Arial" w:cs="Arial"/>
          <w:b/>
        </w:rPr>
        <w:t>2</w:t>
      </w:r>
    </w:p>
    <w:p w14:paraId="4A768474" w14:textId="455C5670" w:rsidR="009D6050" w:rsidRDefault="00F36C59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04</w:t>
      </w:r>
      <w:r w:rsidR="009D6050">
        <w:rPr>
          <w:rFonts w:ascii="Arial" w:hAnsi="Arial" w:cs="Arial"/>
          <w:b/>
        </w:rPr>
        <w:t>-</w:t>
      </w:r>
      <w:r w:rsidR="00020955">
        <w:rPr>
          <w:rFonts w:ascii="Arial" w:hAnsi="Arial" w:cs="Arial"/>
          <w:b/>
        </w:rPr>
        <w:t xml:space="preserve"> S</w:t>
      </w:r>
      <w:r w:rsidR="009D6050">
        <w:rPr>
          <w:rFonts w:ascii="Arial" w:hAnsi="Arial" w:cs="Arial"/>
          <w:b/>
        </w:rPr>
        <w:t xml:space="preserve">itni inventar </w:t>
      </w:r>
      <w:r w:rsidR="00020955">
        <w:rPr>
          <w:rFonts w:ascii="Arial" w:hAnsi="Arial" w:cs="Arial"/>
          <w:b/>
        </w:rPr>
        <w:t>i auto gume</w:t>
      </w:r>
      <w:r w:rsidR="009D6050">
        <w:rPr>
          <w:rFonts w:ascii="Arial" w:hAnsi="Arial" w:cs="Arial"/>
          <w:b/>
        </w:rPr>
        <w:t xml:space="preserve"> </w:t>
      </w:r>
    </w:p>
    <w:p w14:paraId="3E364DE3" w14:textId="669AE049" w:rsidR="00F36C59" w:rsidRDefault="00574A06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t</w:t>
      </w:r>
      <w:r w:rsidR="00020955">
        <w:rPr>
          <w:rFonts w:ascii="Arial" w:hAnsi="Arial" w:cs="Arial"/>
          <w:bCs/>
        </w:rPr>
        <w:t>ijeku</w:t>
      </w:r>
      <w:r>
        <w:rPr>
          <w:rFonts w:ascii="Arial" w:hAnsi="Arial" w:cs="Arial"/>
          <w:bCs/>
        </w:rPr>
        <w:t xml:space="preserve"> 202</w:t>
      </w:r>
      <w:r w:rsidR="00EC4A7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</w:t>
      </w:r>
      <w:r w:rsidR="000A5A54">
        <w:rPr>
          <w:rFonts w:ascii="Arial" w:hAnsi="Arial" w:cs="Arial"/>
          <w:bCs/>
        </w:rPr>
        <w:t xml:space="preserve">godine </w:t>
      </w:r>
      <w:r>
        <w:rPr>
          <w:rFonts w:ascii="Arial" w:hAnsi="Arial" w:cs="Arial"/>
          <w:bCs/>
        </w:rPr>
        <w:t xml:space="preserve">nabavljeno je sitnog inventara u vrijednosti </w:t>
      </w:r>
      <w:r w:rsidR="00EC4A7F">
        <w:rPr>
          <w:rFonts w:ascii="Arial" w:hAnsi="Arial" w:cs="Arial"/>
          <w:bCs/>
        </w:rPr>
        <w:t>868,75 eura</w:t>
      </w:r>
      <w:r w:rsidR="00020955">
        <w:rPr>
          <w:rFonts w:ascii="Arial" w:hAnsi="Arial" w:cs="Arial"/>
          <w:bCs/>
        </w:rPr>
        <w:t>. Radi se nabav</w:t>
      </w:r>
      <w:r w:rsidR="00F36C59">
        <w:rPr>
          <w:rFonts w:ascii="Arial" w:hAnsi="Arial" w:cs="Arial"/>
          <w:bCs/>
        </w:rPr>
        <w:t>i dva</w:t>
      </w:r>
      <w:r w:rsidR="005D308E">
        <w:rPr>
          <w:rFonts w:ascii="Arial" w:hAnsi="Arial" w:cs="Arial"/>
          <w:bCs/>
        </w:rPr>
        <w:t xml:space="preserve"> fiksna telefona i šest školskih klupa za podrumsku dvoranu</w:t>
      </w:r>
      <w:r w:rsidR="00CC53BA">
        <w:rPr>
          <w:rFonts w:ascii="Arial" w:hAnsi="Arial" w:cs="Arial"/>
          <w:bCs/>
        </w:rPr>
        <w:t xml:space="preserve"> Hrvatskog doma</w:t>
      </w:r>
      <w:r w:rsidR="00F36C59">
        <w:rPr>
          <w:rFonts w:ascii="Arial" w:hAnsi="Arial" w:cs="Arial"/>
          <w:bCs/>
        </w:rPr>
        <w:t>.</w:t>
      </w:r>
    </w:p>
    <w:p w14:paraId="2CDBE9C5" w14:textId="3A956AC8" w:rsidR="002F15DF" w:rsidRDefault="002F15DF" w:rsidP="00564821">
      <w:pPr>
        <w:jc w:val="both"/>
        <w:rPr>
          <w:rFonts w:ascii="Arial" w:hAnsi="Arial" w:cs="Arial"/>
          <w:b/>
        </w:rPr>
      </w:pPr>
      <w:r w:rsidRPr="002F15DF">
        <w:rPr>
          <w:rFonts w:ascii="Arial" w:hAnsi="Arial" w:cs="Arial"/>
          <w:b/>
        </w:rPr>
        <w:t>Bilješka br.</w:t>
      </w:r>
      <w:r w:rsidR="00B63F69">
        <w:rPr>
          <w:rFonts w:ascii="Arial" w:hAnsi="Arial" w:cs="Arial"/>
          <w:b/>
        </w:rPr>
        <w:t>2</w:t>
      </w:r>
      <w:r w:rsidR="000A5A54">
        <w:rPr>
          <w:rFonts w:ascii="Arial" w:hAnsi="Arial" w:cs="Arial"/>
          <w:b/>
        </w:rPr>
        <w:t>3</w:t>
      </w:r>
    </w:p>
    <w:p w14:paraId="1044F7BD" w14:textId="5BC5FBF2" w:rsidR="00262EED" w:rsidRPr="006F10DD" w:rsidRDefault="009A5966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113</w:t>
      </w:r>
      <w:r w:rsidR="00262EED" w:rsidRPr="006F10DD">
        <w:rPr>
          <w:rFonts w:ascii="Arial" w:hAnsi="Arial" w:cs="Arial"/>
          <w:b/>
        </w:rPr>
        <w:t>- Novci u blagajni</w:t>
      </w:r>
    </w:p>
    <w:p w14:paraId="7A66683F" w14:textId="56007502" w:rsidR="00262EED" w:rsidRDefault="00262EE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 xml:space="preserve">Iznos novaca u </w:t>
      </w:r>
      <w:r w:rsidR="009A5966">
        <w:rPr>
          <w:rFonts w:ascii="Arial" w:hAnsi="Arial" w:cs="Arial"/>
          <w:bCs/>
        </w:rPr>
        <w:t>b</w:t>
      </w:r>
      <w:r w:rsidRPr="006F10DD">
        <w:rPr>
          <w:rFonts w:ascii="Arial" w:hAnsi="Arial" w:cs="Arial"/>
          <w:bCs/>
        </w:rPr>
        <w:t xml:space="preserve">lagajni </w:t>
      </w:r>
      <w:r w:rsidR="00D05F22">
        <w:rPr>
          <w:rFonts w:ascii="Arial" w:hAnsi="Arial" w:cs="Arial"/>
          <w:bCs/>
        </w:rPr>
        <w:t>gotovo je isti kao</w:t>
      </w:r>
      <w:r w:rsidRPr="006F10DD">
        <w:rPr>
          <w:rFonts w:ascii="Arial" w:hAnsi="Arial" w:cs="Arial"/>
          <w:bCs/>
        </w:rPr>
        <w:t xml:space="preserve"> na kraju prošle godine</w:t>
      </w:r>
      <w:r w:rsidR="009A5966">
        <w:rPr>
          <w:rFonts w:ascii="Arial" w:hAnsi="Arial" w:cs="Arial"/>
          <w:bCs/>
        </w:rPr>
        <w:t xml:space="preserve">, </w:t>
      </w:r>
      <w:r w:rsidR="00D05F22">
        <w:rPr>
          <w:rFonts w:ascii="Arial" w:hAnsi="Arial" w:cs="Arial"/>
          <w:bCs/>
        </w:rPr>
        <w:t>a</w:t>
      </w:r>
      <w:r w:rsidR="009A5966">
        <w:rPr>
          <w:rFonts w:ascii="Arial" w:hAnsi="Arial" w:cs="Arial"/>
          <w:bCs/>
        </w:rPr>
        <w:t xml:space="preserve"> najveći dio je</w:t>
      </w:r>
      <w:r w:rsidRPr="006F10DD">
        <w:rPr>
          <w:rFonts w:ascii="Arial" w:hAnsi="Arial" w:cs="Arial"/>
          <w:bCs/>
        </w:rPr>
        <w:t xml:space="preserve"> polog novaca u blagajni </w:t>
      </w:r>
      <w:r w:rsidR="00DA1C4E">
        <w:rPr>
          <w:rFonts w:ascii="Arial" w:hAnsi="Arial" w:cs="Arial"/>
          <w:bCs/>
        </w:rPr>
        <w:t>Kina Križevci</w:t>
      </w:r>
      <w:r w:rsidRPr="006F10DD">
        <w:rPr>
          <w:rFonts w:ascii="Arial" w:hAnsi="Arial" w:cs="Arial"/>
          <w:bCs/>
        </w:rPr>
        <w:t>.</w:t>
      </w:r>
    </w:p>
    <w:p w14:paraId="3150EF4D" w14:textId="0C1D102E" w:rsidR="004F1ACD" w:rsidRPr="006F10DD" w:rsidRDefault="004F1AC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/>
        </w:rPr>
        <w:t>Bilješka br.2</w:t>
      </w:r>
      <w:r>
        <w:rPr>
          <w:rFonts w:ascii="Arial" w:hAnsi="Arial" w:cs="Arial"/>
          <w:b/>
        </w:rPr>
        <w:t>3</w:t>
      </w:r>
    </w:p>
    <w:p w14:paraId="57793DD4" w14:textId="7E8640FA" w:rsidR="003B4C3A" w:rsidRDefault="003B4C3A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129- Ostala potraživanja</w:t>
      </w:r>
    </w:p>
    <w:p w14:paraId="72EFF950" w14:textId="2142C96B" w:rsidR="005968EC" w:rsidRDefault="00224794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Čine</w:t>
      </w:r>
      <w:r w:rsidR="003B4C3A">
        <w:rPr>
          <w:rFonts w:ascii="Arial" w:hAnsi="Arial" w:cs="Arial"/>
          <w:bCs/>
        </w:rPr>
        <w:t xml:space="preserve"> potraživanja </w:t>
      </w:r>
      <w:r w:rsidR="005968EC">
        <w:rPr>
          <w:rFonts w:ascii="Arial" w:hAnsi="Arial" w:cs="Arial"/>
          <w:bCs/>
        </w:rPr>
        <w:t xml:space="preserve">od Erste </w:t>
      </w:r>
      <w:proofErr w:type="spellStart"/>
      <w:r w:rsidR="00186EF7">
        <w:rPr>
          <w:rFonts w:ascii="Arial" w:hAnsi="Arial" w:cs="Arial"/>
          <w:bCs/>
        </w:rPr>
        <w:t>C</w:t>
      </w:r>
      <w:r w:rsidR="005968EC">
        <w:rPr>
          <w:rFonts w:ascii="Arial" w:hAnsi="Arial" w:cs="Arial"/>
          <w:bCs/>
        </w:rPr>
        <w:t>ard</w:t>
      </w:r>
      <w:proofErr w:type="spellEnd"/>
      <w:r w:rsidR="005968EC">
        <w:rPr>
          <w:rFonts w:ascii="Arial" w:hAnsi="Arial" w:cs="Arial"/>
          <w:bCs/>
        </w:rPr>
        <w:t xml:space="preserve"> </w:t>
      </w:r>
      <w:r w:rsidR="00186EF7">
        <w:rPr>
          <w:rFonts w:ascii="Arial" w:hAnsi="Arial" w:cs="Arial"/>
          <w:bCs/>
        </w:rPr>
        <w:t>C</w:t>
      </w:r>
      <w:r w:rsidR="005968EC">
        <w:rPr>
          <w:rFonts w:ascii="Arial" w:hAnsi="Arial" w:cs="Arial"/>
          <w:bCs/>
        </w:rPr>
        <w:t>luba d.o.o.za on-line prodaju ulaznica putem kartica koje dolaze na naplatu s odgodom od 10 do 30 dana ovisno o vrsti kartice.</w:t>
      </w:r>
    </w:p>
    <w:p w14:paraId="169FD143" w14:textId="3F9CFBEB" w:rsidR="00186EF7" w:rsidRPr="00FC6533" w:rsidRDefault="00186EF7" w:rsidP="00564821">
      <w:pPr>
        <w:jc w:val="both"/>
        <w:rPr>
          <w:rFonts w:ascii="Arial" w:hAnsi="Arial" w:cs="Arial"/>
          <w:b/>
        </w:rPr>
      </w:pPr>
      <w:r w:rsidRPr="00FC6533">
        <w:rPr>
          <w:rFonts w:ascii="Arial" w:hAnsi="Arial" w:cs="Arial"/>
          <w:b/>
        </w:rPr>
        <w:t>Bilješka br.</w:t>
      </w:r>
      <w:r w:rsidR="004B5CA9" w:rsidRPr="00FC6533">
        <w:rPr>
          <w:rFonts w:ascii="Arial" w:hAnsi="Arial" w:cs="Arial"/>
          <w:b/>
        </w:rPr>
        <w:t>24</w:t>
      </w:r>
    </w:p>
    <w:p w14:paraId="3809272A" w14:textId="69DF7B6C" w:rsidR="004B5CA9" w:rsidRDefault="004B5CA9" w:rsidP="00564821">
      <w:pPr>
        <w:jc w:val="both"/>
        <w:rPr>
          <w:rFonts w:ascii="Arial" w:hAnsi="Arial" w:cs="Arial"/>
          <w:b/>
        </w:rPr>
      </w:pPr>
      <w:r w:rsidRPr="00FC6533">
        <w:rPr>
          <w:rFonts w:ascii="Arial" w:hAnsi="Arial" w:cs="Arial"/>
          <w:b/>
        </w:rPr>
        <w:t xml:space="preserve">Šifra 166- Potraživanja za prihode od prodaje </w:t>
      </w:r>
      <w:r w:rsidR="00FC6533" w:rsidRPr="00FC6533">
        <w:rPr>
          <w:rFonts w:ascii="Arial" w:hAnsi="Arial" w:cs="Arial"/>
          <w:b/>
        </w:rPr>
        <w:t>proizvoda i robe te pruženih usluga</w:t>
      </w:r>
    </w:p>
    <w:p w14:paraId="6A0CCC6B" w14:textId="1CCCD4FA" w:rsidR="00556937" w:rsidRPr="00675014" w:rsidRDefault="00556937" w:rsidP="00564821">
      <w:pPr>
        <w:jc w:val="both"/>
        <w:rPr>
          <w:rFonts w:ascii="Arial" w:hAnsi="Arial" w:cs="Arial"/>
          <w:bCs/>
        </w:rPr>
      </w:pPr>
      <w:r w:rsidRPr="00675014">
        <w:rPr>
          <w:rFonts w:ascii="Arial" w:hAnsi="Arial" w:cs="Arial"/>
          <w:bCs/>
        </w:rPr>
        <w:t xml:space="preserve">Potraživanja u iznosu od 5.853,61 euro </w:t>
      </w:r>
      <w:r w:rsidR="00675014">
        <w:rPr>
          <w:rFonts w:ascii="Arial" w:hAnsi="Arial" w:cs="Arial"/>
          <w:bCs/>
        </w:rPr>
        <w:t>odnose se na nenaplaćene školarine za obrazovanje odraslih</w:t>
      </w:r>
      <w:r w:rsidR="0064647B">
        <w:rPr>
          <w:rFonts w:ascii="Arial" w:hAnsi="Arial" w:cs="Arial"/>
          <w:bCs/>
        </w:rPr>
        <w:t xml:space="preserve"> i </w:t>
      </w:r>
      <w:r w:rsidR="00A81D29">
        <w:rPr>
          <w:rFonts w:ascii="Arial" w:hAnsi="Arial" w:cs="Arial"/>
          <w:bCs/>
        </w:rPr>
        <w:t xml:space="preserve">najam dvorana. Dospjela potraživanja </w:t>
      </w:r>
      <w:r w:rsidR="0037348A">
        <w:rPr>
          <w:rFonts w:ascii="Arial" w:hAnsi="Arial" w:cs="Arial"/>
          <w:bCs/>
        </w:rPr>
        <w:t>iznose 300,00 eura, a nedospjela 5.553,61 euro.</w:t>
      </w:r>
    </w:p>
    <w:p w14:paraId="6A6E3110" w14:textId="08E19961" w:rsidR="004F1ACD" w:rsidRDefault="004F1ACD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br.2</w:t>
      </w:r>
      <w:r w:rsidR="000F05BF">
        <w:rPr>
          <w:rFonts w:ascii="Arial" w:hAnsi="Arial" w:cs="Arial"/>
          <w:b/>
        </w:rPr>
        <w:t>5</w:t>
      </w:r>
    </w:p>
    <w:p w14:paraId="1E6A41E7" w14:textId="205D1E0A" w:rsidR="004F1ACD" w:rsidRPr="006F10DD" w:rsidRDefault="004F1ACD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167</w:t>
      </w:r>
      <w:r w:rsidRPr="006F10DD">
        <w:rPr>
          <w:rFonts w:ascii="Arial" w:hAnsi="Arial" w:cs="Arial"/>
          <w:b/>
        </w:rPr>
        <w:t xml:space="preserve"> -</w:t>
      </w:r>
      <w:r w:rsidRPr="006F10DD">
        <w:rPr>
          <w:rFonts w:ascii="Arial" w:hAnsi="Arial" w:cs="Arial"/>
        </w:rPr>
        <w:t xml:space="preserve"> </w:t>
      </w:r>
      <w:r w:rsidRPr="006F10DD">
        <w:rPr>
          <w:rFonts w:ascii="Arial" w:hAnsi="Arial" w:cs="Arial"/>
          <w:b/>
        </w:rPr>
        <w:t xml:space="preserve"> Potraživanja za prihode iz proračuna</w:t>
      </w:r>
    </w:p>
    <w:p w14:paraId="78218897" w14:textId="2259CF3A" w:rsidR="004F1ACD" w:rsidRDefault="004F1AC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</w:rPr>
        <w:lastRenderedPageBreak/>
        <w:t>To su sredstva ostvarena obavljanjem djelatnosti Učilišta</w:t>
      </w:r>
      <w:r w:rsidR="00D17768">
        <w:rPr>
          <w:rFonts w:ascii="Arial" w:hAnsi="Arial" w:cs="Arial"/>
        </w:rPr>
        <w:t xml:space="preserve">, iznose </w:t>
      </w:r>
      <w:r w:rsidR="000E1AD7">
        <w:rPr>
          <w:rFonts w:ascii="Arial" w:hAnsi="Arial" w:cs="Arial"/>
        </w:rPr>
        <w:t>4.350,01 euro</w:t>
      </w:r>
      <w:r w:rsidRPr="006F10DD">
        <w:rPr>
          <w:rFonts w:ascii="Arial" w:hAnsi="Arial" w:cs="Arial"/>
        </w:rPr>
        <w:t xml:space="preserve"> i </w:t>
      </w:r>
      <w:r w:rsidR="000F05BF">
        <w:rPr>
          <w:rFonts w:ascii="Arial" w:hAnsi="Arial" w:cs="Arial"/>
        </w:rPr>
        <w:t>manja</w:t>
      </w:r>
      <w:r w:rsidRPr="006F10DD">
        <w:rPr>
          <w:rFonts w:ascii="Arial" w:hAnsi="Arial" w:cs="Arial"/>
        </w:rPr>
        <w:t xml:space="preserve"> su nego na kraju prošle godine</w:t>
      </w:r>
      <w:r w:rsidR="00A13102">
        <w:rPr>
          <w:rFonts w:ascii="Arial" w:hAnsi="Arial" w:cs="Arial"/>
        </w:rPr>
        <w:t xml:space="preserve">. </w:t>
      </w:r>
      <w:r w:rsidR="002B3BCD">
        <w:rPr>
          <w:rFonts w:ascii="Arial" w:hAnsi="Arial" w:cs="Arial"/>
        </w:rPr>
        <w:t xml:space="preserve">Sredstva se uplaćuju na jedinstveni žiro račun Grada Križevaca i </w:t>
      </w:r>
      <w:r w:rsidR="009E6AC2">
        <w:rPr>
          <w:rFonts w:ascii="Arial" w:hAnsi="Arial" w:cs="Arial"/>
        </w:rPr>
        <w:t xml:space="preserve">služe za </w:t>
      </w:r>
      <w:r w:rsidR="006D3571">
        <w:rPr>
          <w:rFonts w:ascii="Arial" w:hAnsi="Arial" w:cs="Arial"/>
        </w:rPr>
        <w:t xml:space="preserve">plaćanje obveza u sljedećem razdoblju. </w:t>
      </w:r>
    </w:p>
    <w:p w14:paraId="7D3E153C" w14:textId="222D9659" w:rsidR="00001582" w:rsidRDefault="0000158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2F7D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6</w:t>
      </w:r>
    </w:p>
    <w:p w14:paraId="37715BAB" w14:textId="21756157" w:rsidR="006C2846" w:rsidRPr="006C2846" w:rsidRDefault="006C2846" w:rsidP="00564821">
      <w:pPr>
        <w:jc w:val="both"/>
        <w:rPr>
          <w:rFonts w:ascii="Arial" w:hAnsi="Arial" w:cs="Arial"/>
          <w:b/>
        </w:rPr>
      </w:pPr>
      <w:r w:rsidRPr="006C2846">
        <w:rPr>
          <w:rFonts w:ascii="Arial" w:hAnsi="Arial" w:cs="Arial"/>
          <w:b/>
        </w:rPr>
        <w:t>Šifra 231- Obveze za zaposlene</w:t>
      </w:r>
    </w:p>
    <w:p w14:paraId="522CF30F" w14:textId="574ECD92" w:rsidR="006C2846" w:rsidRDefault="006C2846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zaposlene veće su nego u isto vrijeme prošle godine, jer su osnovica i koeficijenti za izračun plaća poveć</w:t>
      </w:r>
      <w:r w:rsidR="003B45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ni. </w:t>
      </w:r>
    </w:p>
    <w:p w14:paraId="681D5271" w14:textId="36EF6B5E" w:rsidR="00CB7641" w:rsidRPr="00CB7641" w:rsidRDefault="00CB7641" w:rsidP="00564821">
      <w:pPr>
        <w:jc w:val="both"/>
        <w:rPr>
          <w:rFonts w:ascii="Arial" w:hAnsi="Arial" w:cs="Arial"/>
          <w:b/>
        </w:rPr>
      </w:pPr>
      <w:r w:rsidRPr="00CB7641">
        <w:rPr>
          <w:rFonts w:ascii="Arial" w:hAnsi="Arial" w:cs="Arial"/>
          <w:b/>
        </w:rPr>
        <w:t>Bilješka br.27</w:t>
      </w:r>
    </w:p>
    <w:p w14:paraId="75902BDB" w14:textId="44782F65" w:rsidR="00CB7641" w:rsidRDefault="00CB7641" w:rsidP="00564821">
      <w:pPr>
        <w:jc w:val="both"/>
        <w:rPr>
          <w:rFonts w:ascii="Arial" w:hAnsi="Arial" w:cs="Arial"/>
          <w:b/>
        </w:rPr>
      </w:pPr>
      <w:r w:rsidRPr="00CB7641">
        <w:rPr>
          <w:rFonts w:ascii="Arial" w:hAnsi="Arial" w:cs="Arial"/>
          <w:b/>
        </w:rPr>
        <w:t>Šifra 23</w:t>
      </w:r>
      <w:r w:rsidR="00B95A90">
        <w:rPr>
          <w:rFonts w:ascii="Arial" w:hAnsi="Arial" w:cs="Arial"/>
          <w:b/>
        </w:rPr>
        <w:t>2</w:t>
      </w:r>
      <w:r w:rsidRPr="00CB7641">
        <w:rPr>
          <w:rFonts w:ascii="Arial" w:hAnsi="Arial" w:cs="Arial"/>
          <w:b/>
        </w:rPr>
        <w:t xml:space="preserve">- Obveze za </w:t>
      </w:r>
      <w:r w:rsidR="00FF62C5">
        <w:rPr>
          <w:rFonts w:ascii="Arial" w:hAnsi="Arial" w:cs="Arial"/>
          <w:b/>
        </w:rPr>
        <w:t>materijalne</w:t>
      </w:r>
      <w:r w:rsidRPr="00CB7641">
        <w:rPr>
          <w:rFonts w:ascii="Arial" w:hAnsi="Arial" w:cs="Arial"/>
          <w:b/>
        </w:rPr>
        <w:t xml:space="preserve"> rashode</w:t>
      </w:r>
    </w:p>
    <w:p w14:paraId="38B2B313" w14:textId="108C6640" w:rsidR="00CB7641" w:rsidRPr="00CB7641" w:rsidRDefault="00CB7641" w:rsidP="00564821">
      <w:pPr>
        <w:jc w:val="both"/>
        <w:rPr>
          <w:rFonts w:ascii="Arial" w:hAnsi="Arial" w:cs="Arial"/>
        </w:rPr>
      </w:pPr>
      <w:r w:rsidRPr="00CB7641">
        <w:rPr>
          <w:rFonts w:ascii="Arial" w:hAnsi="Arial" w:cs="Arial"/>
        </w:rPr>
        <w:t xml:space="preserve">Ove obveze veće su </w:t>
      </w:r>
      <w:r>
        <w:rPr>
          <w:rFonts w:ascii="Arial" w:hAnsi="Arial" w:cs="Arial"/>
        </w:rPr>
        <w:t>nego u istom periodu prošle godine,</w:t>
      </w:r>
      <w:r w:rsidR="00FF62C5">
        <w:rPr>
          <w:rFonts w:ascii="Arial" w:hAnsi="Arial" w:cs="Arial"/>
        </w:rPr>
        <w:t xml:space="preserve"> jer </w:t>
      </w:r>
      <w:r w:rsidR="00204B4D">
        <w:rPr>
          <w:rFonts w:ascii="Arial" w:hAnsi="Arial" w:cs="Arial"/>
        </w:rPr>
        <w:t xml:space="preserve">su obveze za </w:t>
      </w:r>
      <w:r w:rsidR="00CE48B1">
        <w:rPr>
          <w:rFonts w:ascii="Arial" w:hAnsi="Arial" w:cs="Arial"/>
        </w:rPr>
        <w:t xml:space="preserve">izvršene usluge tekućeg i investicijskog održavanja </w:t>
      </w:r>
      <w:r w:rsidR="00C466F5">
        <w:rPr>
          <w:rFonts w:ascii="Arial" w:hAnsi="Arial" w:cs="Arial"/>
        </w:rPr>
        <w:t>ostale nepodmirene</w:t>
      </w:r>
      <w:r w:rsidR="00960C4C">
        <w:rPr>
          <w:rFonts w:ascii="Arial" w:hAnsi="Arial" w:cs="Arial"/>
        </w:rPr>
        <w:t xml:space="preserve">. </w:t>
      </w:r>
      <w:r w:rsidR="008F390F">
        <w:rPr>
          <w:rFonts w:ascii="Arial" w:hAnsi="Arial" w:cs="Arial"/>
        </w:rPr>
        <w:t>A s obziro</w:t>
      </w:r>
      <w:r w:rsidR="00773D48">
        <w:rPr>
          <w:rFonts w:ascii="Arial" w:hAnsi="Arial" w:cs="Arial"/>
        </w:rPr>
        <w:t>m</w:t>
      </w:r>
      <w:r w:rsidR="008F390F">
        <w:rPr>
          <w:rFonts w:ascii="Arial" w:hAnsi="Arial" w:cs="Arial"/>
        </w:rPr>
        <w:t xml:space="preserve"> na valutu plaćanja</w:t>
      </w:r>
      <w:r w:rsidR="00773D48">
        <w:rPr>
          <w:rFonts w:ascii="Arial" w:hAnsi="Arial" w:cs="Arial"/>
        </w:rPr>
        <w:t xml:space="preserve"> još nisu dospjele.</w:t>
      </w:r>
    </w:p>
    <w:p w14:paraId="346DC832" w14:textId="17D8646A" w:rsidR="000F348A" w:rsidRPr="000F348A" w:rsidRDefault="000F348A" w:rsidP="00564821">
      <w:pPr>
        <w:jc w:val="both"/>
        <w:rPr>
          <w:rFonts w:ascii="Arial" w:hAnsi="Arial" w:cs="Arial"/>
          <w:b/>
        </w:rPr>
      </w:pPr>
      <w:r w:rsidRPr="000F348A">
        <w:rPr>
          <w:rFonts w:ascii="Arial" w:hAnsi="Arial" w:cs="Arial"/>
          <w:b/>
        </w:rPr>
        <w:t>Bilješka br.2</w:t>
      </w:r>
      <w:r w:rsidR="00AA44F6">
        <w:rPr>
          <w:rFonts w:ascii="Arial" w:hAnsi="Arial" w:cs="Arial"/>
          <w:b/>
        </w:rPr>
        <w:t>8</w:t>
      </w:r>
    </w:p>
    <w:p w14:paraId="51C1951C" w14:textId="451B1D90" w:rsidR="00C77405" w:rsidRDefault="000F348A" w:rsidP="00564821">
      <w:pPr>
        <w:jc w:val="both"/>
        <w:rPr>
          <w:rFonts w:ascii="Arial" w:hAnsi="Arial" w:cs="Arial"/>
          <w:b/>
        </w:rPr>
      </w:pPr>
      <w:r w:rsidRPr="000F348A">
        <w:rPr>
          <w:rFonts w:ascii="Arial" w:hAnsi="Arial" w:cs="Arial"/>
          <w:b/>
        </w:rPr>
        <w:t>Šifra 9221</w:t>
      </w:r>
      <w:r w:rsidR="005D4CF7">
        <w:rPr>
          <w:rFonts w:ascii="Arial" w:hAnsi="Arial" w:cs="Arial"/>
          <w:b/>
        </w:rPr>
        <w:t>2</w:t>
      </w:r>
      <w:r w:rsidRPr="000F348A">
        <w:rPr>
          <w:rFonts w:ascii="Arial" w:hAnsi="Arial" w:cs="Arial"/>
          <w:b/>
        </w:rPr>
        <w:t xml:space="preserve"> i 9222</w:t>
      </w:r>
      <w:r w:rsidR="005D4CF7">
        <w:rPr>
          <w:rFonts w:ascii="Arial" w:hAnsi="Arial" w:cs="Arial"/>
          <w:b/>
        </w:rPr>
        <w:t>1</w:t>
      </w:r>
      <w:r w:rsidR="00D35341">
        <w:rPr>
          <w:rFonts w:ascii="Arial" w:hAnsi="Arial" w:cs="Arial"/>
        </w:rPr>
        <w:t>-</w:t>
      </w:r>
      <w:r w:rsidR="00C77405" w:rsidRPr="00273AEB">
        <w:rPr>
          <w:rFonts w:ascii="Arial" w:hAnsi="Arial" w:cs="Arial"/>
        </w:rPr>
        <w:t xml:space="preserve"> </w:t>
      </w:r>
      <w:r w:rsidR="00C77405" w:rsidRPr="00273AEB">
        <w:rPr>
          <w:rFonts w:ascii="Arial" w:hAnsi="Arial" w:cs="Arial"/>
          <w:b/>
        </w:rPr>
        <w:t xml:space="preserve">Višak prihoda </w:t>
      </w:r>
      <w:r w:rsidR="00AC4197">
        <w:rPr>
          <w:rFonts w:ascii="Arial" w:hAnsi="Arial" w:cs="Arial"/>
          <w:b/>
        </w:rPr>
        <w:t>od nefinancijske imovine</w:t>
      </w:r>
      <w:r w:rsidR="00D6555E">
        <w:rPr>
          <w:rFonts w:ascii="Arial" w:hAnsi="Arial" w:cs="Arial"/>
          <w:b/>
        </w:rPr>
        <w:t xml:space="preserve"> /</w:t>
      </w:r>
      <w:r w:rsidR="00C77405" w:rsidRPr="00273AEB">
        <w:rPr>
          <w:rFonts w:ascii="Arial" w:hAnsi="Arial" w:cs="Arial"/>
          <w:b/>
        </w:rPr>
        <w:t xml:space="preserve"> </w:t>
      </w:r>
      <w:r w:rsidR="00DB2F7D">
        <w:rPr>
          <w:rFonts w:ascii="Arial" w:hAnsi="Arial" w:cs="Arial"/>
          <w:b/>
        </w:rPr>
        <w:t>Manjak</w:t>
      </w:r>
      <w:r w:rsidR="00C77405" w:rsidRPr="00273AEB">
        <w:rPr>
          <w:rFonts w:ascii="Arial" w:hAnsi="Arial" w:cs="Arial"/>
          <w:b/>
        </w:rPr>
        <w:t xml:space="preserve"> prihoda </w:t>
      </w:r>
      <w:r w:rsidR="00AC4197">
        <w:rPr>
          <w:rFonts w:ascii="Arial" w:hAnsi="Arial" w:cs="Arial"/>
          <w:b/>
        </w:rPr>
        <w:t>poslovanja</w:t>
      </w:r>
    </w:p>
    <w:p w14:paraId="468E91CE" w14:textId="009E96D1" w:rsidR="00DB2F7D" w:rsidRDefault="0094308D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provedene korekcije rezultata koja je propisana čl.82 Pravilnika o proračunskom računovodstvu za kapitalne prijenose</w:t>
      </w:r>
      <w:r w:rsidR="00D6555E">
        <w:rPr>
          <w:rFonts w:ascii="Arial" w:hAnsi="Arial" w:cs="Arial"/>
          <w:bCs/>
        </w:rPr>
        <w:t>, r</w:t>
      </w:r>
      <w:r w:rsidR="00DB2F7D">
        <w:rPr>
          <w:rFonts w:ascii="Arial" w:hAnsi="Arial" w:cs="Arial"/>
          <w:bCs/>
        </w:rPr>
        <w:t>ezultat poslovanja 202</w:t>
      </w:r>
      <w:r w:rsidR="00F62BA9">
        <w:rPr>
          <w:rFonts w:ascii="Arial" w:hAnsi="Arial" w:cs="Arial"/>
          <w:bCs/>
        </w:rPr>
        <w:t>3</w:t>
      </w:r>
      <w:r w:rsidR="00DB2F7D">
        <w:rPr>
          <w:rFonts w:ascii="Arial" w:hAnsi="Arial" w:cs="Arial"/>
          <w:bCs/>
        </w:rPr>
        <w:t>.</w:t>
      </w:r>
      <w:r w:rsidR="008D764D">
        <w:rPr>
          <w:rFonts w:ascii="Arial" w:hAnsi="Arial" w:cs="Arial"/>
          <w:bCs/>
        </w:rPr>
        <w:t>godine</w:t>
      </w:r>
      <w:r w:rsidR="00DB2F7D">
        <w:rPr>
          <w:rFonts w:ascii="Arial" w:hAnsi="Arial" w:cs="Arial"/>
          <w:bCs/>
        </w:rPr>
        <w:t xml:space="preserve"> u </w:t>
      </w:r>
      <w:r w:rsidR="000F348A">
        <w:rPr>
          <w:rFonts w:ascii="Arial" w:hAnsi="Arial" w:cs="Arial"/>
          <w:bCs/>
        </w:rPr>
        <w:t>Pučkom otvorenom učilištu</w:t>
      </w:r>
      <w:r w:rsidR="00DB2F7D">
        <w:rPr>
          <w:rFonts w:ascii="Arial" w:hAnsi="Arial" w:cs="Arial"/>
          <w:bCs/>
        </w:rPr>
        <w:t xml:space="preserve"> Križevci je </w:t>
      </w:r>
      <w:r w:rsidR="00F62BA9">
        <w:rPr>
          <w:rFonts w:ascii="Arial" w:hAnsi="Arial" w:cs="Arial"/>
          <w:bCs/>
        </w:rPr>
        <w:t>manjak</w:t>
      </w:r>
      <w:r w:rsidR="00DB2F7D">
        <w:rPr>
          <w:rFonts w:ascii="Arial" w:hAnsi="Arial" w:cs="Arial"/>
          <w:bCs/>
        </w:rPr>
        <w:t xml:space="preserve"> prihoda poslovanja u iznosu </w:t>
      </w:r>
      <w:r w:rsidR="00781A13">
        <w:rPr>
          <w:rFonts w:ascii="Arial" w:hAnsi="Arial" w:cs="Arial"/>
          <w:bCs/>
        </w:rPr>
        <w:t>663,85 eura</w:t>
      </w:r>
      <w:r w:rsidR="00D6555E">
        <w:rPr>
          <w:rFonts w:ascii="Arial" w:hAnsi="Arial" w:cs="Arial"/>
          <w:bCs/>
        </w:rPr>
        <w:t xml:space="preserve"> </w:t>
      </w:r>
      <w:r w:rsidR="00DB2F7D">
        <w:rPr>
          <w:rFonts w:ascii="Arial" w:hAnsi="Arial" w:cs="Arial"/>
          <w:bCs/>
        </w:rPr>
        <w:t xml:space="preserve">i </w:t>
      </w:r>
      <w:r w:rsidR="00781A13">
        <w:rPr>
          <w:rFonts w:ascii="Arial" w:hAnsi="Arial" w:cs="Arial"/>
          <w:bCs/>
        </w:rPr>
        <w:t>višak</w:t>
      </w:r>
      <w:r w:rsidR="00DB2F7D">
        <w:rPr>
          <w:rFonts w:ascii="Arial" w:hAnsi="Arial" w:cs="Arial"/>
          <w:bCs/>
        </w:rPr>
        <w:t xml:space="preserve"> prihoda od nefinancijske imovine u iznosu od </w:t>
      </w:r>
      <w:r w:rsidR="001F0829">
        <w:rPr>
          <w:rFonts w:ascii="Arial" w:hAnsi="Arial" w:cs="Arial"/>
          <w:bCs/>
        </w:rPr>
        <w:t>62,34 eura.</w:t>
      </w:r>
    </w:p>
    <w:p w14:paraId="0155072A" w14:textId="360094E6" w:rsidR="003C0F7F" w:rsidRDefault="003C0F7F" w:rsidP="00564821">
      <w:pPr>
        <w:jc w:val="both"/>
        <w:rPr>
          <w:rFonts w:ascii="Arial" w:hAnsi="Arial" w:cs="Arial"/>
          <w:bCs/>
        </w:rPr>
      </w:pPr>
    </w:p>
    <w:p w14:paraId="3EBD6132" w14:textId="2961F453" w:rsidR="00864C25" w:rsidRPr="00273AEB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864C25" w:rsidRPr="00273AEB">
        <w:rPr>
          <w:rFonts w:ascii="Arial" w:hAnsi="Arial" w:cs="Arial"/>
          <w:b/>
        </w:rPr>
        <w:t>OBVEZNE BILJEŠKE UZ BILANCU</w:t>
      </w:r>
    </w:p>
    <w:p w14:paraId="02467FBA" w14:textId="77777777" w:rsidR="00864C25" w:rsidRPr="00273AEB" w:rsidRDefault="00864C25" w:rsidP="00564821">
      <w:pPr>
        <w:jc w:val="both"/>
        <w:rPr>
          <w:rFonts w:ascii="Arial" w:hAnsi="Arial" w:cs="Arial"/>
        </w:rPr>
      </w:pPr>
    </w:p>
    <w:p w14:paraId="0C798269" w14:textId="14D9E6B8" w:rsidR="00F8537B" w:rsidRDefault="00864C25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F6D59">
        <w:rPr>
          <w:rFonts w:ascii="Arial" w:hAnsi="Arial" w:cs="Arial"/>
          <w:b/>
        </w:rPr>
        <w:t>29</w:t>
      </w:r>
    </w:p>
    <w:p w14:paraId="19DCC314" w14:textId="3DC37AEF" w:rsidR="00006DD1" w:rsidRDefault="000F348A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991</w:t>
      </w:r>
      <w:r w:rsidR="00006DD1">
        <w:rPr>
          <w:rFonts w:ascii="Arial" w:hAnsi="Arial" w:cs="Arial"/>
          <w:b/>
        </w:rPr>
        <w:t xml:space="preserve">- </w:t>
      </w:r>
      <w:r w:rsidR="00045E40">
        <w:rPr>
          <w:rFonts w:ascii="Arial" w:hAnsi="Arial" w:cs="Arial"/>
          <w:b/>
        </w:rPr>
        <w:t xml:space="preserve">Šifra </w:t>
      </w:r>
      <w:r w:rsidR="00B25EEE">
        <w:rPr>
          <w:rFonts w:ascii="Arial" w:hAnsi="Arial" w:cs="Arial"/>
          <w:b/>
        </w:rPr>
        <w:t xml:space="preserve">996 </w:t>
      </w:r>
      <w:proofErr w:type="spellStart"/>
      <w:r w:rsidR="00006DD1">
        <w:rPr>
          <w:rFonts w:ascii="Arial" w:hAnsi="Arial" w:cs="Arial"/>
          <w:b/>
        </w:rPr>
        <w:t>Izvanbilančni</w:t>
      </w:r>
      <w:proofErr w:type="spellEnd"/>
      <w:r w:rsidR="00006DD1">
        <w:rPr>
          <w:rFonts w:ascii="Arial" w:hAnsi="Arial" w:cs="Arial"/>
          <w:b/>
        </w:rPr>
        <w:t xml:space="preserve"> zapisi-aktiva</w:t>
      </w:r>
      <w:r w:rsidR="00B25EEE">
        <w:rPr>
          <w:rFonts w:ascii="Arial" w:hAnsi="Arial" w:cs="Arial"/>
          <w:b/>
        </w:rPr>
        <w:t>/pasiva</w:t>
      </w:r>
    </w:p>
    <w:p w14:paraId="090789AB" w14:textId="7EDC4C87" w:rsidR="00B25EEE" w:rsidRDefault="00B25EEE" w:rsidP="00564821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Izvanbilančni</w:t>
      </w:r>
      <w:proofErr w:type="spellEnd"/>
      <w:r>
        <w:rPr>
          <w:rFonts w:ascii="Arial" w:hAnsi="Arial" w:cs="Arial"/>
          <w:bCs/>
        </w:rPr>
        <w:t xml:space="preserve"> </w:t>
      </w:r>
      <w:r w:rsidR="006E3297">
        <w:rPr>
          <w:rFonts w:ascii="Arial" w:hAnsi="Arial" w:cs="Arial"/>
          <w:bCs/>
        </w:rPr>
        <w:t xml:space="preserve">zapisi iznose 12.316,73 eura i čine ih </w:t>
      </w:r>
      <w:r w:rsidR="00785E96">
        <w:rPr>
          <w:rFonts w:ascii="Arial" w:hAnsi="Arial" w:cs="Arial"/>
          <w:bCs/>
        </w:rPr>
        <w:t>(</w:t>
      </w:r>
      <w:r w:rsidR="00D90982">
        <w:rPr>
          <w:rFonts w:ascii="Arial" w:hAnsi="Arial" w:cs="Arial"/>
          <w:bCs/>
        </w:rPr>
        <w:t>99111</w:t>
      </w:r>
      <w:r w:rsidR="00785E96">
        <w:rPr>
          <w:rFonts w:ascii="Arial" w:hAnsi="Arial" w:cs="Arial"/>
          <w:bCs/>
        </w:rPr>
        <w:t>)</w:t>
      </w:r>
      <w:r w:rsidR="00D90982">
        <w:rPr>
          <w:rFonts w:ascii="Arial" w:hAnsi="Arial" w:cs="Arial"/>
          <w:bCs/>
        </w:rPr>
        <w:t xml:space="preserve"> </w:t>
      </w:r>
      <w:r w:rsidR="00532310">
        <w:rPr>
          <w:rFonts w:ascii="Arial" w:hAnsi="Arial" w:cs="Arial"/>
          <w:bCs/>
        </w:rPr>
        <w:t xml:space="preserve">Tuđa imovina dobivena na korištenje u iznosu od 6.590,50 eura. </w:t>
      </w:r>
      <w:r w:rsidR="00274724">
        <w:rPr>
          <w:rFonts w:ascii="Arial" w:hAnsi="Arial" w:cs="Arial"/>
          <w:bCs/>
        </w:rPr>
        <w:t xml:space="preserve">Dana jamstva ( 99121) </w:t>
      </w:r>
      <w:r w:rsidR="007D5BA4">
        <w:rPr>
          <w:rFonts w:ascii="Arial" w:hAnsi="Arial" w:cs="Arial"/>
          <w:bCs/>
        </w:rPr>
        <w:t xml:space="preserve">u iznosu od 1.327,23 eura, te Ostali </w:t>
      </w:r>
      <w:proofErr w:type="spellStart"/>
      <w:r w:rsidR="007D5BA4">
        <w:rPr>
          <w:rFonts w:ascii="Arial" w:hAnsi="Arial" w:cs="Arial"/>
          <w:bCs/>
        </w:rPr>
        <w:t>izvanbilančni</w:t>
      </w:r>
      <w:proofErr w:type="spellEnd"/>
      <w:r w:rsidR="007D5BA4">
        <w:rPr>
          <w:rFonts w:ascii="Arial" w:hAnsi="Arial" w:cs="Arial"/>
          <w:bCs/>
        </w:rPr>
        <w:t xml:space="preserve"> zapisi </w:t>
      </w:r>
      <w:r w:rsidR="00785E96">
        <w:rPr>
          <w:rFonts w:ascii="Arial" w:hAnsi="Arial" w:cs="Arial"/>
          <w:bCs/>
        </w:rPr>
        <w:t xml:space="preserve">( </w:t>
      </w:r>
      <w:r w:rsidR="00D2050D">
        <w:rPr>
          <w:rFonts w:ascii="Arial" w:hAnsi="Arial" w:cs="Arial"/>
          <w:bCs/>
        </w:rPr>
        <w:t xml:space="preserve">99191) </w:t>
      </w:r>
      <w:r w:rsidR="007D5BA4">
        <w:rPr>
          <w:rFonts w:ascii="Arial" w:hAnsi="Arial" w:cs="Arial"/>
          <w:bCs/>
        </w:rPr>
        <w:t xml:space="preserve">u iznosu od </w:t>
      </w:r>
      <w:r w:rsidR="002A70F4">
        <w:rPr>
          <w:rFonts w:ascii="Arial" w:hAnsi="Arial" w:cs="Arial"/>
          <w:bCs/>
        </w:rPr>
        <w:t>4.399,00 eura.</w:t>
      </w:r>
    </w:p>
    <w:p w14:paraId="2DB66AB8" w14:textId="77777777" w:rsidR="003125E0" w:rsidRDefault="003125E0" w:rsidP="00564821">
      <w:pPr>
        <w:jc w:val="both"/>
        <w:rPr>
          <w:rFonts w:ascii="Arial" w:hAnsi="Arial" w:cs="Arial"/>
          <w:bCs/>
        </w:rPr>
      </w:pPr>
    </w:p>
    <w:p w14:paraId="0F740B2E" w14:textId="0C1993AA" w:rsidR="003125E0" w:rsidRDefault="003125E0" w:rsidP="00564821">
      <w:pPr>
        <w:autoSpaceDE w:val="0"/>
        <w:autoSpaceDN w:val="0"/>
        <w:adjustRightInd w:val="0"/>
        <w:jc w:val="both"/>
        <w:rPr>
          <w:rFonts w:ascii="Arial-Bold+0" w:hAnsi="Arial-Bold+0" w:cs="Arial-Bold+0"/>
          <w:bCs/>
        </w:rPr>
      </w:pPr>
      <w:r w:rsidRPr="00C75A3D">
        <w:rPr>
          <w:rFonts w:ascii="Arial" w:hAnsi="Arial" w:cs="Arial"/>
          <w:u w:val="single"/>
        </w:rPr>
        <w:t>Tuđe imovine u prostoru</w:t>
      </w:r>
      <w:r w:rsidR="00C75A3D" w:rsidRPr="00C75A3D">
        <w:rPr>
          <w:rFonts w:ascii="Arial" w:hAnsi="Arial" w:cs="Arial"/>
          <w:u w:val="single"/>
        </w:rPr>
        <w:t xml:space="preserve"> Ustanove</w:t>
      </w:r>
      <w:r>
        <w:rPr>
          <w:rFonts w:ascii="Arial" w:hAnsi="Arial" w:cs="Arial"/>
        </w:rPr>
        <w:t xml:space="preserve"> ima na temelju Reversa Urbroj:6/2022 potpisanog s udrugom P.O.I.N.T. iz Križevaca. Radi se o deset prijenosnih računala s tipkovnicama i miševima, koji služe za održavanje radionica u sklopu projekta „SPARK</w:t>
      </w:r>
      <w:r w:rsidRPr="006B5C4A">
        <w:rPr>
          <w:rFonts w:ascii="Arial-Bold+0" w:hAnsi="Arial-Bold+0" w:cs="Arial-Bold+0"/>
          <w:b/>
          <w:bCs/>
        </w:rPr>
        <w:t xml:space="preserve"> </w:t>
      </w:r>
      <w:r>
        <w:rPr>
          <w:rFonts w:ascii="Arial-Bold+0" w:hAnsi="Arial-Bold+0" w:cs="Arial-Bold+0"/>
          <w:b/>
          <w:bCs/>
        </w:rPr>
        <w:t>-</w:t>
      </w:r>
      <w:r w:rsidRPr="006B5C4A">
        <w:rPr>
          <w:rFonts w:ascii="Arial-Bold+0" w:hAnsi="Arial-Bold+0" w:cs="Arial-Bold+0"/>
          <w:bCs/>
        </w:rPr>
        <w:t>sinergija</w:t>
      </w:r>
      <w:r w:rsidR="00F97ABA">
        <w:rPr>
          <w:rFonts w:ascii="Arial-Bold+0" w:hAnsi="Arial-Bold+0" w:cs="Arial-Bold+0"/>
          <w:bCs/>
        </w:rPr>
        <w:t xml:space="preserve"> </w:t>
      </w:r>
      <w:r w:rsidRPr="006B5C4A">
        <w:rPr>
          <w:rFonts w:ascii="Arial-Bold+0" w:hAnsi="Arial-Bold+0" w:cs="Arial-Bold+0"/>
          <w:bCs/>
        </w:rPr>
        <w:t>prirodoslovaca,</w:t>
      </w:r>
      <w:r>
        <w:rPr>
          <w:rFonts w:ascii="Arial-Bold+0" w:hAnsi="Arial-Bold+0" w:cs="Arial-Bold+0"/>
          <w:bCs/>
        </w:rPr>
        <w:t xml:space="preserve"> </w:t>
      </w:r>
      <w:r w:rsidRPr="006B5C4A">
        <w:rPr>
          <w:rFonts w:ascii="Arial-Bold+0" w:hAnsi="Arial-Bold+0" w:cs="Arial-Bold+0"/>
          <w:bCs/>
        </w:rPr>
        <w:t>astronoma, računaraca</w:t>
      </w:r>
      <w:r>
        <w:rPr>
          <w:rFonts w:ascii="Arial-Bold+0" w:hAnsi="Arial-Bold+0" w:cs="Arial-Bold+0"/>
          <w:bCs/>
        </w:rPr>
        <w:t xml:space="preserve"> K</w:t>
      </w:r>
      <w:r w:rsidRPr="006B5C4A">
        <w:rPr>
          <w:rFonts w:ascii="Arial-Bold+0" w:hAnsi="Arial-Bold+0" w:cs="Arial-Bold+0"/>
          <w:bCs/>
        </w:rPr>
        <w:t>riževaca</w:t>
      </w:r>
      <w:r>
        <w:rPr>
          <w:rFonts w:ascii="Arial-Bold+0" w:hAnsi="Arial-Bold+0" w:cs="Arial-Bold+0"/>
          <w:bCs/>
        </w:rPr>
        <w:t xml:space="preserve">“. Vrijednost imovine je </w:t>
      </w:r>
      <w:r w:rsidR="00F97ABA">
        <w:rPr>
          <w:rFonts w:ascii="Arial-Bold+0" w:hAnsi="Arial-Bold+0" w:cs="Arial-Bold+0"/>
          <w:bCs/>
        </w:rPr>
        <w:t>6.590,50 eura.</w:t>
      </w:r>
    </w:p>
    <w:p w14:paraId="4BE74493" w14:textId="77777777" w:rsidR="00601136" w:rsidRPr="006B5C4A" w:rsidRDefault="00601136" w:rsidP="005648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DD8C18" w14:textId="2A83F508" w:rsidR="003125E0" w:rsidRPr="009F4FCD" w:rsidRDefault="009F4FCD" w:rsidP="00564821">
      <w:pPr>
        <w:jc w:val="both"/>
        <w:rPr>
          <w:rFonts w:ascii="Arial" w:hAnsi="Arial" w:cs="Arial"/>
          <w:bCs/>
        </w:rPr>
      </w:pPr>
      <w:r w:rsidRPr="00C75A3D">
        <w:rPr>
          <w:rFonts w:ascii="Arial" w:hAnsi="Arial" w:cs="Arial"/>
          <w:bCs/>
          <w:u w:val="single"/>
        </w:rPr>
        <w:t>Dana jamstva</w:t>
      </w:r>
      <w:r w:rsidRPr="009F4FCD">
        <w:rPr>
          <w:rFonts w:ascii="Arial" w:hAnsi="Arial" w:cs="Arial"/>
          <w:bCs/>
        </w:rPr>
        <w:t xml:space="preserve"> iznose 1.327,23 eura i čine ih:</w:t>
      </w:r>
    </w:p>
    <w:p w14:paraId="5FE295AB" w14:textId="77777777" w:rsidR="002F2657" w:rsidRDefault="002F2657" w:rsidP="00564821">
      <w:pPr>
        <w:jc w:val="both"/>
        <w:rPr>
          <w:rFonts w:ascii="Arial" w:hAnsi="Arial" w:cs="Arial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05"/>
        <w:gridCol w:w="2575"/>
        <w:gridCol w:w="1915"/>
      </w:tblGrid>
      <w:tr w:rsidR="00D92CBC" w:rsidRPr="00D92CBC" w14:paraId="2C490F86" w14:textId="77777777" w:rsidTr="00D92CBC">
        <w:trPr>
          <w:trHeight w:val="404"/>
        </w:trPr>
        <w:tc>
          <w:tcPr>
            <w:tcW w:w="2651" w:type="dxa"/>
            <w:shd w:val="clear" w:color="auto" w:fill="auto"/>
          </w:tcPr>
          <w:p w14:paraId="4FFEA764" w14:textId="2E03C7A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Naziv </w:t>
            </w:r>
            <w:r w:rsidR="00024D65">
              <w:rPr>
                <w:rFonts w:ascii="Arial" w:hAnsi="Arial" w:cs="Arial"/>
              </w:rPr>
              <w:t>primatelja</w:t>
            </w:r>
          </w:p>
        </w:tc>
        <w:tc>
          <w:tcPr>
            <w:tcW w:w="2405" w:type="dxa"/>
            <w:shd w:val="clear" w:color="auto" w:fill="auto"/>
          </w:tcPr>
          <w:p w14:paraId="77687D91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Vrsta jamstva i iznos</w:t>
            </w:r>
          </w:p>
        </w:tc>
        <w:tc>
          <w:tcPr>
            <w:tcW w:w="2575" w:type="dxa"/>
            <w:shd w:val="clear" w:color="auto" w:fill="auto"/>
          </w:tcPr>
          <w:p w14:paraId="7EA6267F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Osnova jamstva</w:t>
            </w:r>
          </w:p>
        </w:tc>
        <w:tc>
          <w:tcPr>
            <w:tcW w:w="1915" w:type="dxa"/>
            <w:shd w:val="clear" w:color="auto" w:fill="auto"/>
          </w:tcPr>
          <w:p w14:paraId="471FDC09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Rok jamstva</w:t>
            </w:r>
          </w:p>
        </w:tc>
      </w:tr>
      <w:tr w:rsidR="00D92CBC" w:rsidRPr="00D92CBC" w14:paraId="638B1EF4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09E561BF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</w:p>
          <w:p w14:paraId="3FE39C9A" w14:textId="3CD421D6" w:rsidR="00D92CBC" w:rsidRPr="00D92CBC" w:rsidRDefault="00024D65" w:rsidP="0056482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Blitz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d.o.o.Zagreb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14:paraId="19FB8CF9" w14:textId="77777777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</w:p>
          <w:p w14:paraId="625BFBCE" w14:textId="58CC594E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Bjanko zadužnica iznos </w:t>
            </w:r>
            <w:r w:rsidR="00EA39D7">
              <w:rPr>
                <w:rFonts w:ascii="Arial" w:hAnsi="Arial" w:cs="Arial"/>
              </w:rPr>
              <w:t>663,61 euro</w:t>
            </w:r>
          </w:p>
        </w:tc>
        <w:tc>
          <w:tcPr>
            <w:tcW w:w="2575" w:type="dxa"/>
            <w:shd w:val="clear" w:color="auto" w:fill="auto"/>
          </w:tcPr>
          <w:p w14:paraId="7DD7F562" w14:textId="5F04E14A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Ugovor 1</w:t>
            </w:r>
            <w:r w:rsidR="00024D65">
              <w:rPr>
                <w:rFonts w:ascii="Arial" w:hAnsi="Arial" w:cs="Arial"/>
              </w:rPr>
              <w:t>57</w:t>
            </w:r>
            <w:r w:rsidRPr="00D92CBC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="00024D65">
              <w:rPr>
                <w:rFonts w:ascii="Arial" w:hAnsi="Arial" w:cs="Arial"/>
              </w:rPr>
              <w:t>.2021</w:t>
            </w:r>
            <w:r w:rsidRPr="00D92CBC">
              <w:rPr>
                <w:rFonts w:ascii="Arial" w:hAnsi="Arial" w:cs="Arial"/>
              </w:rPr>
              <w:t xml:space="preserve">.jamstvo za </w:t>
            </w:r>
            <w:r w:rsidR="003311F0">
              <w:rPr>
                <w:rFonts w:ascii="Arial" w:hAnsi="Arial" w:cs="Arial"/>
              </w:rPr>
              <w:t>podmi</w:t>
            </w:r>
            <w:r w:rsidR="00AA0936">
              <w:rPr>
                <w:rFonts w:ascii="Arial" w:hAnsi="Arial" w:cs="Arial"/>
              </w:rPr>
              <w:t>renje</w:t>
            </w:r>
            <w:r w:rsid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60EDB1DA" w14:textId="77777777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</w:p>
          <w:p w14:paraId="19CCDEC6" w14:textId="17482424" w:rsidR="00D92CBC" w:rsidRPr="00D92CBC" w:rsidRDefault="00D35341" w:rsidP="009B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</w:t>
            </w:r>
            <w:r w:rsidR="00923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traje suradnja</w:t>
            </w:r>
          </w:p>
        </w:tc>
      </w:tr>
      <w:tr w:rsidR="003311F0" w:rsidRPr="00D92CBC" w14:paraId="5B1FE931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659183B1" w14:textId="77777777" w:rsidR="003311F0" w:rsidRDefault="003311F0" w:rsidP="00564821">
            <w:pPr>
              <w:jc w:val="both"/>
              <w:rPr>
                <w:rFonts w:ascii="Arial" w:hAnsi="Arial" w:cs="Arial"/>
              </w:rPr>
            </w:pPr>
          </w:p>
          <w:p w14:paraId="3094CB59" w14:textId="77777777" w:rsidR="003311F0" w:rsidRDefault="003311F0" w:rsidP="0056482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Duplicato</w:t>
            </w:r>
            <w:proofErr w:type="spellEnd"/>
            <w:r>
              <w:rPr>
                <w:rFonts w:ascii="Arial" w:hAnsi="Arial" w:cs="Arial"/>
              </w:rPr>
              <w:t xml:space="preserve"> d.o.o.</w:t>
            </w:r>
          </w:p>
          <w:p w14:paraId="4DADB7A5" w14:textId="332AADE4" w:rsidR="003311F0" w:rsidRPr="00D92CBC" w:rsidRDefault="003311F0" w:rsidP="00564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</w:t>
            </w:r>
          </w:p>
        </w:tc>
        <w:tc>
          <w:tcPr>
            <w:tcW w:w="2405" w:type="dxa"/>
            <w:shd w:val="clear" w:color="auto" w:fill="auto"/>
          </w:tcPr>
          <w:p w14:paraId="11B5F41F" w14:textId="77777777" w:rsidR="003311F0" w:rsidRPr="003311F0" w:rsidRDefault="003311F0" w:rsidP="009B1ECF">
            <w:pPr>
              <w:jc w:val="center"/>
              <w:rPr>
                <w:rFonts w:ascii="Arial" w:hAnsi="Arial" w:cs="Arial"/>
              </w:rPr>
            </w:pPr>
          </w:p>
          <w:p w14:paraId="1C6B1BF8" w14:textId="7715CAA2" w:rsidR="003311F0" w:rsidRPr="00D92CBC" w:rsidRDefault="003311F0" w:rsidP="009B1ECF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 xml:space="preserve">Bjanko zadužnica iznos </w:t>
            </w:r>
            <w:r w:rsidR="00EA39D7">
              <w:rPr>
                <w:rFonts w:ascii="Arial" w:hAnsi="Arial" w:cs="Arial"/>
              </w:rPr>
              <w:t>663,62 eura</w:t>
            </w:r>
          </w:p>
        </w:tc>
        <w:tc>
          <w:tcPr>
            <w:tcW w:w="2575" w:type="dxa"/>
            <w:shd w:val="clear" w:color="auto" w:fill="auto"/>
          </w:tcPr>
          <w:p w14:paraId="541CC991" w14:textId="535DD2A9" w:rsidR="003311F0" w:rsidRPr="00D92CBC" w:rsidRDefault="003311F0" w:rsidP="009B1ECF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>Ugovor 15</w:t>
            </w:r>
            <w:r>
              <w:rPr>
                <w:rFonts w:ascii="Arial" w:hAnsi="Arial" w:cs="Arial"/>
              </w:rPr>
              <w:t>8</w:t>
            </w:r>
            <w:r w:rsidRPr="003311F0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Pr="003311F0">
              <w:rPr>
                <w:rFonts w:ascii="Arial" w:hAnsi="Arial" w:cs="Arial"/>
              </w:rPr>
              <w:t>.2021.jamstvo za podmir</w:t>
            </w:r>
            <w:r w:rsidR="00C20625">
              <w:rPr>
                <w:rFonts w:ascii="Arial" w:hAnsi="Arial" w:cs="Arial"/>
              </w:rPr>
              <w:t>enje</w:t>
            </w:r>
            <w:r w:rsidRP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50242C20" w14:textId="77777777" w:rsidR="003311F0" w:rsidRDefault="003311F0" w:rsidP="009B1ECF">
            <w:pPr>
              <w:jc w:val="center"/>
              <w:rPr>
                <w:rFonts w:ascii="Arial" w:hAnsi="Arial" w:cs="Arial"/>
              </w:rPr>
            </w:pPr>
          </w:p>
          <w:p w14:paraId="6F6D9CA9" w14:textId="4A75046F" w:rsidR="00D35341" w:rsidRPr="00D92CBC" w:rsidRDefault="00D35341" w:rsidP="009B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traje suradnja</w:t>
            </w:r>
          </w:p>
        </w:tc>
      </w:tr>
    </w:tbl>
    <w:p w14:paraId="4501EFD7" w14:textId="77777777" w:rsidR="00777D5F" w:rsidRDefault="00777D5F" w:rsidP="00564821">
      <w:pPr>
        <w:jc w:val="both"/>
        <w:rPr>
          <w:rFonts w:ascii="Arial" w:hAnsi="Arial" w:cs="Arial"/>
        </w:rPr>
      </w:pPr>
    </w:p>
    <w:p w14:paraId="331A3533" w14:textId="1B521499" w:rsidR="00E43306" w:rsidRDefault="000D1DA9" w:rsidP="00564821">
      <w:pPr>
        <w:jc w:val="both"/>
        <w:rPr>
          <w:rFonts w:ascii="Arial" w:hAnsi="Arial" w:cs="Arial"/>
        </w:rPr>
      </w:pPr>
      <w:r w:rsidRPr="00C75A3D">
        <w:rPr>
          <w:rFonts w:ascii="Arial" w:hAnsi="Arial" w:cs="Arial"/>
          <w:u w:val="single"/>
        </w:rPr>
        <w:t xml:space="preserve">Ostali </w:t>
      </w:r>
      <w:proofErr w:type="spellStart"/>
      <w:r w:rsidRPr="00C75A3D">
        <w:rPr>
          <w:rFonts w:ascii="Arial" w:hAnsi="Arial" w:cs="Arial"/>
          <w:u w:val="single"/>
        </w:rPr>
        <w:t>izvanbilančni</w:t>
      </w:r>
      <w:proofErr w:type="spellEnd"/>
      <w:r w:rsidRPr="00C75A3D">
        <w:rPr>
          <w:rFonts w:ascii="Arial" w:hAnsi="Arial" w:cs="Arial"/>
          <w:u w:val="single"/>
        </w:rPr>
        <w:t xml:space="preserve"> zapisi u obliku </w:t>
      </w:r>
      <w:r w:rsidR="0019270E" w:rsidRPr="00C75A3D">
        <w:rPr>
          <w:rFonts w:ascii="Arial" w:hAnsi="Arial" w:cs="Arial"/>
          <w:u w:val="single"/>
        </w:rPr>
        <w:t>primljenog jamstva</w:t>
      </w:r>
      <w:r w:rsidR="0019270E">
        <w:rPr>
          <w:rFonts w:ascii="Arial" w:hAnsi="Arial" w:cs="Arial"/>
        </w:rPr>
        <w:t xml:space="preserve">: </w:t>
      </w:r>
    </w:p>
    <w:p w14:paraId="554D8F60" w14:textId="2915ABD5" w:rsidR="00601136" w:rsidRDefault="00601136" w:rsidP="00564821">
      <w:pPr>
        <w:pStyle w:val="Odlomakpopisa"/>
        <w:ind w:left="-142"/>
        <w:jc w:val="both"/>
        <w:rPr>
          <w:rFonts w:ascii="Arial" w:hAnsi="Arial" w:cs="Arial"/>
        </w:rPr>
      </w:pPr>
      <w:r w:rsidRPr="00601136">
        <w:rPr>
          <w:rFonts w:ascii="Arial" w:hAnsi="Arial" w:cs="Arial"/>
        </w:rPr>
        <w:t xml:space="preserve">  Garancija </w:t>
      </w:r>
      <w:proofErr w:type="spellStart"/>
      <w:r w:rsidRPr="00601136">
        <w:rPr>
          <w:rFonts w:ascii="Arial" w:hAnsi="Arial" w:cs="Arial"/>
        </w:rPr>
        <w:t>Raiffeisenbank</w:t>
      </w:r>
      <w:proofErr w:type="spellEnd"/>
      <w:r w:rsidRPr="00601136">
        <w:rPr>
          <w:rFonts w:ascii="Arial" w:hAnsi="Arial" w:cs="Arial"/>
        </w:rPr>
        <w:t xml:space="preserve"> </w:t>
      </w:r>
      <w:proofErr w:type="spellStart"/>
      <w:r w:rsidRPr="00601136">
        <w:rPr>
          <w:rFonts w:ascii="Arial" w:hAnsi="Arial" w:cs="Arial"/>
        </w:rPr>
        <w:t>d.d</w:t>
      </w:r>
      <w:proofErr w:type="spellEnd"/>
      <w:r w:rsidRPr="00601136">
        <w:rPr>
          <w:rFonts w:ascii="Arial" w:hAnsi="Arial" w:cs="Arial"/>
        </w:rPr>
        <w:t xml:space="preserve"> za otklanjanje nedostatka u jamstvenom roku </w:t>
      </w:r>
    </w:p>
    <w:p w14:paraId="5D87BBC7" w14:textId="3F6DDD8D" w:rsidR="00601136" w:rsidRPr="00601136" w:rsidRDefault="00601136" w:rsidP="00564821">
      <w:pPr>
        <w:pStyle w:val="Odlomakpopisa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01136">
        <w:rPr>
          <w:rFonts w:ascii="Arial" w:hAnsi="Arial" w:cs="Arial"/>
        </w:rPr>
        <w:t>za poduzeće  Prahin INC d.o.o., Brezje, Sveta Nedjelja u iznosu od 4.399,00 eura.</w:t>
      </w:r>
    </w:p>
    <w:p w14:paraId="3927C19B" w14:textId="777CDB13" w:rsidR="0019270E" w:rsidRDefault="006F2C7C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r w:rsidR="00354B07">
        <w:rPr>
          <w:rFonts w:ascii="Arial" w:hAnsi="Arial" w:cs="Arial"/>
        </w:rPr>
        <w:t>primljenog jamstva je 10.08.2025. godine.</w:t>
      </w:r>
    </w:p>
    <w:p w14:paraId="48C39F43" w14:textId="23E5E153" w:rsidR="00083200" w:rsidRDefault="00083200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lastRenderedPageBreak/>
        <w:t>Pučko otvoreno učilište nema potpisanih ugovora koji bi mogli postati obaveza ili imovina uz</w:t>
      </w:r>
      <w:r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</w:rPr>
        <w:t>ispunjavanje određenih uvjeta.</w:t>
      </w:r>
    </w:p>
    <w:p w14:paraId="13C19E1E" w14:textId="77777777" w:rsidR="00083200" w:rsidRPr="00273AEB" w:rsidRDefault="0008320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Učilište nema sudskih sporova u tijeku.</w:t>
      </w:r>
    </w:p>
    <w:p w14:paraId="60E2DD5C" w14:textId="77777777" w:rsidR="00BE6AB7" w:rsidRDefault="00BE6AB7" w:rsidP="00564821">
      <w:pPr>
        <w:jc w:val="both"/>
        <w:rPr>
          <w:rFonts w:ascii="Arial" w:hAnsi="Arial" w:cs="Arial"/>
          <w:b/>
        </w:rPr>
      </w:pPr>
    </w:p>
    <w:p w14:paraId="0B7ACA01" w14:textId="77777777" w:rsidR="002F2657" w:rsidRDefault="00DE1A24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426C57" w:rsidRPr="00273AEB">
        <w:rPr>
          <w:rFonts w:ascii="Arial" w:hAnsi="Arial" w:cs="Arial"/>
          <w:b/>
        </w:rPr>
        <w:t>OBRAZAC-OBVEZE</w:t>
      </w:r>
      <w:r w:rsidR="006C0F4E">
        <w:rPr>
          <w:rFonts w:ascii="Arial" w:hAnsi="Arial" w:cs="Arial"/>
          <w:b/>
        </w:rPr>
        <w:t xml:space="preserve">         </w:t>
      </w:r>
    </w:p>
    <w:p w14:paraId="6B495C30" w14:textId="14D8FD8D" w:rsidR="00911352" w:rsidRPr="00273AEB" w:rsidRDefault="002F265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</w:t>
      </w:r>
      <w:r w:rsidR="00911352">
        <w:rPr>
          <w:rFonts w:ascii="Arial" w:hAnsi="Arial" w:cs="Arial"/>
          <w:b/>
        </w:rPr>
        <w:t>štaj o obvezama</w:t>
      </w:r>
    </w:p>
    <w:p w14:paraId="28B4259C" w14:textId="77777777" w:rsidR="00426C57" w:rsidRPr="00273AEB" w:rsidRDefault="00426C57" w:rsidP="00564821">
      <w:pPr>
        <w:jc w:val="both"/>
        <w:rPr>
          <w:rFonts w:ascii="Arial" w:hAnsi="Arial" w:cs="Arial"/>
          <w:b/>
        </w:rPr>
      </w:pPr>
    </w:p>
    <w:p w14:paraId="0B2DAD7D" w14:textId="2412BF2F" w:rsidR="00CA4DA2" w:rsidRDefault="00307468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6C0F4E">
        <w:rPr>
          <w:rFonts w:ascii="Arial" w:hAnsi="Arial" w:cs="Arial"/>
          <w:b/>
        </w:rPr>
        <w:t>3</w:t>
      </w:r>
      <w:r w:rsidR="00F71CE4">
        <w:rPr>
          <w:rFonts w:ascii="Arial" w:hAnsi="Arial" w:cs="Arial"/>
          <w:b/>
        </w:rPr>
        <w:t>0</w:t>
      </w:r>
    </w:p>
    <w:p w14:paraId="724211BB" w14:textId="0E4D5E09" w:rsidR="00006DD1" w:rsidRDefault="006C0F4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V001</w:t>
      </w:r>
      <w:r w:rsidR="00006DD1">
        <w:rPr>
          <w:rFonts w:ascii="Arial" w:hAnsi="Arial" w:cs="Arial"/>
          <w:b/>
        </w:rPr>
        <w:t xml:space="preserve">- Stanje obveza 01.siječnja </w:t>
      </w:r>
      <w:r w:rsidR="0027750F">
        <w:rPr>
          <w:rFonts w:ascii="Arial" w:hAnsi="Arial" w:cs="Arial"/>
          <w:b/>
        </w:rPr>
        <w:t>202</w:t>
      </w:r>
      <w:r w:rsidR="00EB402B">
        <w:rPr>
          <w:rFonts w:ascii="Arial" w:hAnsi="Arial" w:cs="Arial"/>
          <w:b/>
        </w:rPr>
        <w:t>3</w:t>
      </w:r>
      <w:r w:rsidR="0027750F">
        <w:rPr>
          <w:rFonts w:ascii="Arial" w:hAnsi="Arial" w:cs="Arial"/>
          <w:b/>
        </w:rPr>
        <w:t>. godine</w:t>
      </w:r>
    </w:p>
    <w:p w14:paraId="7DDC951A" w14:textId="158CA036" w:rsidR="0027750F" w:rsidRPr="006A71E5" w:rsidRDefault="00006DD1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Stanje obveze 01.01.202</w:t>
      </w:r>
      <w:r w:rsidR="00EB402B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491E85">
        <w:rPr>
          <w:rFonts w:ascii="Arial" w:hAnsi="Arial" w:cs="Arial"/>
          <w:bCs/>
        </w:rPr>
        <w:t>godine</w:t>
      </w:r>
      <w:r>
        <w:rPr>
          <w:rFonts w:ascii="Arial" w:hAnsi="Arial" w:cs="Arial"/>
          <w:bCs/>
        </w:rPr>
        <w:t xml:space="preserve"> </w:t>
      </w:r>
      <w:r w:rsidR="0027750F">
        <w:rPr>
          <w:rFonts w:ascii="Arial" w:hAnsi="Arial" w:cs="Arial"/>
          <w:bCs/>
        </w:rPr>
        <w:t xml:space="preserve">iznosilo je </w:t>
      </w:r>
      <w:r w:rsidR="00EB402B">
        <w:rPr>
          <w:rFonts w:ascii="Arial" w:hAnsi="Arial" w:cs="Arial"/>
          <w:bCs/>
        </w:rPr>
        <w:t>12.299,15 eura</w:t>
      </w:r>
      <w:r w:rsidR="008958BC">
        <w:rPr>
          <w:rFonts w:ascii="Arial" w:hAnsi="Arial" w:cs="Arial"/>
          <w:bCs/>
        </w:rPr>
        <w:t xml:space="preserve">, </w:t>
      </w:r>
      <w:r w:rsidR="008958BC" w:rsidRPr="006A71E5">
        <w:rPr>
          <w:rFonts w:ascii="Arial" w:hAnsi="Arial" w:cs="Arial"/>
          <w:bCs/>
        </w:rPr>
        <w:t xml:space="preserve">od toga obveze prema proračunskim korisnicima iznose </w:t>
      </w:r>
      <w:r w:rsidR="00205FA2" w:rsidRPr="006A71E5">
        <w:rPr>
          <w:rFonts w:ascii="Arial" w:hAnsi="Arial" w:cs="Arial"/>
          <w:bCs/>
        </w:rPr>
        <w:t>460,42 eura</w:t>
      </w:r>
      <w:r w:rsidR="008958BC" w:rsidRPr="006A71E5">
        <w:rPr>
          <w:rFonts w:ascii="Arial" w:hAnsi="Arial" w:cs="Arial"/>
          <w:bCs/>
        </w:rPr>
        <w:t>.</w:t>
      </w:r>
      <w:r w:rsidR="00063D00" w:rsidRPr="006A71E5">
        <w:rPr>
          <w:rFonts w:ascii="Arial" w:hAnsi="Arial" w:cs="Arial"/>
          <w:bCs/>
        </w:rPr>
        <w:t xml:space="preserve"> Radi se o refundaciji troškova energenata Gradskoj knjižnici Franjo Marković Križevci</w:t>
      </w:r>
      <w:r w:rsidR="00ED334C" w:rsidRPr="006A71E5">
        <w:rPr>
          <w:rFonts w:ascii="Arial" w:hAnsi="Arial" w:cs="Arial"/>
          <w:bCs/>
        </w:rPr>
        <w:t xml:space="preserve"> za prosinac 202</w:t>
      </w:r>
      <w:r w:rsidR="00FF328C" w:rsidRPr="006A71E5">
        <w:rPr>
          <w:rFonts w:ascii="Arial" w:hAnsi="Arial" w:cs="Arial"/>
          <w:bCs/>
        </w:rPr>
        <w:t>2</w:t>
      </w:r>
      <w:r w:rsidR="00ED334C" w:rsidRPr="006A71E5">
        <w:rPr>
          <w:rFonts w:ascii="Arial" w:hAnsi="Arial" w:cs="Arial"/>
          <w:bCs/>
        </w:rPr>
        <w:t>.godine</w:t>
      </w:r>
      <w:r w:rsidR="00063D00" w:rsidRPr="006A71E5">
        <w:rPr>
          <w:rFonts w:ascii="Arial" w:hAnsi="Arial" w:cs="Arial"/>
          <w:bCs/>
        </w:rPr>
        <w:t>.</w:t>
      </w:r>
    </w:p>
    <w:p w14:paraId="16E178B1" w14:textId="22F05C78" w:rsidR="008958BC" w:rsidRPr="008958BC" w:rsidRDefault="008958BC" w:rsidP="00564821">
      <w:pPr>
        <w:jc w:val="both"/>
        <w:rPr>
          <w:rFonts w:ascii="Arial" w:hAnsi="Arial" w:cs="Arial"/>
          <w:b/>
          <w:bCs/>
        </w:rPr>
      </w:pPr>
      <w:r w:rsidRPr="008958BC">
        <w:rPr>
          <w:rFonts w:ascii="Arial" w:hAnsi="Arial" w:cs="Arial"/>
          <w:b/>
          <w:bCs/>
        </w:rPr>
        <w:t>Bilješka br.3</w:t>
      </w:r>
      <w:r w:rsidR="00FF328C">
        <w:rPr>
          <w:rFonts w:ascii="Arial" w:hAnsi="Arial" w:cs="Arial"/>
          <w:b/>
          <w:bCs/>
        </w:rPr>
        <w:t>1</w:t>
      </w:r>
    </w:p>
    <w:p w14:paraId="3F8A12BE" w14:textId="2A7C551F" w:rsidR="00006DD1" w:rsidRPr="00006DD1" w:rsidRDefault="006C0F4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V002</w:t>
      </w:r>
      <w:r w:rsidR="00006DD1" w:rsidRPr="00006DD1">
        <w:rPr>
          <w:rFonts w:ascii="Arial" w:hAnsi="Arial" w:cs="Arial"/>
          <w:b/>
        </w:rPr>
        <w:t>-povećanje obveza u izvještajnom razdoblju</w:t>
      </w:r>
    </w:p>
    <w:p w14:paraId="6C1F242B" w14:textId="563664AD" w:rsidR="00997907" w:rsidRDefault="00006DD1" w:rsidP="00564821">
      <w:pPr>
        <w:jc w:val="both"/>
        <w:rPr>
          <w:rFonts w:ascii="Arial" w:hAnsi="Arial" w:cs="Arial"/>
          <w:bCs/>
        </w:rPr>
      </w:pPr>
      <w:r w:rsidRPr="006A71E5">
        <w:rPr>
          <w:rFonts w:ascii="Arial" w:hAnsi="Arial" w:cs="Arial"/>
          <w:bCs/>
        </w:rPr>
        <w:t>T</w:t>
      </w:r>
      <w:r w:rsidR="0027750F" w:rsidRPr="006A71E5">
        <w:rPr>
          <w:rFonts w:ascii="Arial" w:hAnsi="Arial" w:cs="Arial"/>
          <w:bCs/>
        </w:rPr>
        <w:t>ije</w:t>
      </w:r>
      <w:r w:rsidRPr="006A71E5">
        <w:rPr>
          <w:rFonts w:ascii="Arial" w:hAnsi="Arial" w:cs="Arial"/>
          <w:bCs/>
        </w:rPr>
        <w:t>kom 202</w:t>
      </w:r>
      <w:r w:rsidR="00FF328C" w:rsidRPr="006A71E5">
        <w:rPr>
          <w:rFonts w:ascii="Arial" w:hAnsi="Arial" w:cs="Arial"/>
          <w:bCs/>
        </w:rPr>
        <w:t>3</w:t>
      </w:r>
      <w:r w:rsidRPr="006A71E5">
        <w:rPr>
          <w:rFonts w:ascii="Arial" w:hAnsi="Arial" w:cs="Arial"/>
          <w:bCs/>
        </w:rPr>
        <w:t>.</w:t>
      </w:r>
      <w:r w:rsidR="00425441" w:rsidRPr="006A71E5">
        <w:rPr>
          <w:rFonts w:ascii="Arial" w:hAnsi="Arial" w:cs="Arial"/>
          <w:bCs/>
        </w:rPr>
        <w:t>godine</w:t>
      </w:r>
      <w:r w:rsidRPr="006A71E5">
        <w:rPr>
          <w:rFonts w:ascii="Arial" w:hAnsi="Arial" w:cs="Arial"/>
          <w:bCs/>
        </w:rPr>
        <w:t xml:space="preserve"> obveze su se povećale za </w:t>
      </w:r>
      <w:r w:rsidR="00E94B0E" w:rsidRPr="006A71E5">
        <w:rPr>
          <w:rFonts w:ascii="Arial" w:hAnsi="Arial" w:cs="Arial"/>
          <w:bCs/>
        </w:rPr>
        <w:t>324.664,41 euro</w:t>
      </w:r>
      <w:r w:rsidRPr="006A71E5">
        <w:rPr>
          <w:rFonts w:ascii="Arial" w:hAnsi="Arial" w:cs="Arial"/>
          <w:bCs/>
        </w:rPr>
        <w:t xml:space="preserve">, od toga </w:t>
      </w:r>
      <w:r w:rsidR="00AB03B1" w:rsidRPr="006A71E5">
        <w:rPr>
          <w:rFonts w:ascii="Arial" w:hAnsi="Arial" w:cs="Arial"/>
          <w:bCs/>
        </w:rPr>
        <w:t xml:space="preserve">šifra </w:t>
      </w:r>
      <w:r w:rsidR="00BB4F08" w:rsidRPr="006A71E5">
        <w:rPr>
          <w:rFonts w:ascii="Arial" w:hAnsi="Arial" w:cs="Arial"/>
          <w:bCs/>
        </w:rPr>
        <w:t xml:space="preserve">V003 </w:t>
      </w:r>
      <w:r w:rsidR="00E8191F" w:rsidRPr="006A71E5">
        <w:rPr>
          <w:rFonts w:ascii="Arial" w:hAnsi="Arial" w:cs="Arial"/>
          <w:bCs/>
        </w:rPr>
        <w:t xml:space="preserve">je  </w:t>
      </w:r>
      <w:r w:rsidR="009B6943" w:rsidRPr="006A71E5">
        <w:rPr>
          <w:rFonts w:ascii="Arial" w:hAnsi="Arial" w:cs="Arial"/>
          <w:bCs/>
        </w:rPr>
        <w:t>pove</w:t>
      </w:r>
      <w:r w:rsidR="007D59B2" w:rsidRPr="006A71E5">
        <w:rPr>
          <w:rFonts w:ascii="Arial" w:hAnsi="Arial" w:cs="Arial"/>
          <w:bCs/>
        </w:rPr>
        <w:t>ć</w:t>
      </w:r>
      <w:r w:rsidR="009B6943" w:rsidRPr="006A71E5">
        <w:rPr>
          <w:rFonts w:ascii="Arial" w:hAnsi="Arial" w:cs="Arial"/>
          <w:bCs/>
        </w:rPr>
        <w:t xml:space="preserve">anja </w:t>
      </w:r>
      <w:r w:rsidRPr="006A71E5">
        <w:rPr>
          <w:rFonts w:ascii="Arial" w:hAnsi="Arial" w:cs="Arial"/>
          <w:bCs/>
        </w:rPr>
        <w:t>međusobn</w:t>
      </w:r>
      <w:r w:rsidR="009B6943" w:rsidRPr="006A71E5">
        <w:rPr>
          <w:rFonts w:ascii="Arial" w:hAnsi="Arial" w:cs="Arial"/>
          <w:bCs/>
        </w:rPr>
        <w:t>ih</w:t>
      </w:r>
      <w:r w:rsidRPr="006A71E5">
        <w:rPr>
          <w:rFonts w:ascii="Arial" w:hAnsi="Arial" w:cs="Arial"/>
          <w:bCs/>
        </w:rPr>
        <w:t xml:space="preserve"> obveze proračunskih korisnika iznose </w:t>
      </w:r>
      <w:r w:rsidR="00E94B0E" w:rsidRPr="006A71E5">
        <w:rPr>
          <w:rFonts w:ascii="Arial" w:hAnsi="Arial" w:cs="Arial"/>
          <w:bCs/>
        </w:rPr>
        <w:t>55.</w:t>
      </w:r>
      <w:r w:rsidR="00787217" w:rsidRPr="006A71E5">
        <w:rPr>
          <w:rFonts w:ascii="Arial" w:hAnsi="Arial" w:cs="Arial"/>
          <w:bCs/>
        </w:rPr>
        <w:t>394,45</w:t>
      </w:r>
      <w:r w:rsidR="00E94B0E" w:rsidRPr="006A71E5">
        <w:rPr>
          <w:rFonts w:ascii="Arial" w:hAnsi="Arial" w:cs="Arial"/>
          <w:bCs/>
        </w:rPr>
        <w:t xml:space="preserve"> eura</w:t>
      </w:r>
      <w:r w:rsidRPr="006A71E5">
        <w:rPr>
          <w:rFonts w:ascii="Arial" w:hAnsi="Arial" w:cs="Arial"/>
          <w:bCs/>
        </w:rPr>
        <w:t>, a to su refundacije troškova energenata koje</w:t>
      </w:r>
      <w:r w:rsidR="0027750F" w:rsidRPr="006A71E5">
        <w:rPr>
          <w:rFonts w:ascii="Arial" w:hAnsi="Arial" w:cs="Arial"/>
          <w:bCs/>
        </w:rPr>
        <w:t xml:space="preserve"> </w:t>
      </w:r>
      <w:r w:rsidR="00F504F9" w:rsidRPr="006A71E5">
        <w:rPr>
          <w:rFonts w:ascii="Arial" w:hAnsi="Arial" w:cs="Arial"/>
          <w:bCs/>
        </w:rPr>
        <w:t>Učilište</w:t>
      </w:r>
      <w:r w:rsidRPr="006A71E5">
        <w:rPr>
          <w:rFonts w:ascii="Arial" w:hAnsi="Arial" w:cs="Arial"/>
          <w:bCs/>
        </w:rPr>
        <w:t xml:space="preserve"> </w:t>
      </w:r>
      <w:r w:rsidR="00997907" w:rsidRPr="006A71E5">
        <w:rPr>
          <w:rFonts w:ascii="Arial" w:hAnsi="Arial" w:cs="Arial"/>
          <w:bCs/>
        </w:rPr>
        <w:t>plaća Gradskoj knjižnici F</w:t>
      </w:r>
      <w:r w:rsidR="00063D00" w:rsidRPr="006A71E5">
        <w:rPr>
          <w:rFonts w:ascii="Arial" w:hAnsi="Arial" w:cs="Arial"/>
          <w:bCs/>
        </w:rPr>
        <w:t>ranjo</w:t>
      </w:r>
      <w:r w:rsidR="00997907">
        <w:rPr>
          <w:rFonts w:ascii="Arial" w:hAnsi="Arial" w:cs="Arial"/>
          <w:bCs/>
        </w:rPr>
        <w:t xml:space="preserve"> Marković, jer dijele zajedničku zgradu</w:t>
      </w:r>
      <w:r w:rsidR="00425441">
        <w:rPr>
          <w:rFonts w:ascii="Arial" w:hAnsi="Arial" w:cs="Arial"/>
          <w:bCs/>
        </w:rPr>
        <w:t>,</w:t>
      </w:r>
      <w:r w:rsidR="00587C4B">
        <w:rPr>
          <w:rFonts w:ascii="Arial" w:hAnsi="Arial" w:cs="Arial"/>
          <w:bCs/>
        </w:rPr>
        <w:t xml:space="preserve"> </w:t>
      </w:r>
      <w:r w:rsidR="006F289A">
        <w:rPr>
          <w:rFonts w:ascii="Arial" w:hAnsi="Arial" w:cs="Arial"/>
          <w:bCs/>
        </w:rPr>
        <w:t xml:space="preserve">u iznosu od 1.770,50 eura </w:t>
      </w:r>
      <w:r w:rsidR="001B74E9">
        <w:rPr>
          <w:rFonts w:ascii="Arial" w:hAnsi="Arial" w:cs="Arial"/>
          <w:bCs/>
        </w:rPr>
        <w:t>i</w:t>
      </w:r>
      <w:r w:rsidR="009B6943">
        <w:rPr>
          <w:rFonts w:ascii="Arial" w:hAnsi="Arial" w:cs="Arial"/>
          <w:bCs/>
        </w:rPr>
        <w:t xml:space="preserve"> obveze prema proračunu </w:t>
      </w:r>
      <w:r w:rsidR="00587C4B">
        <w:rPr>
          <w:rFonts w:ascii="Arial" w:hAnsi="Arial" w:cs="Arial"/>
          <w:bCs/>
        </w:rPr>
        <w:t>G</w:t>
      </w:r>
      <w:r w:rsidR="009B6943">
        <w:rPr>
          <w:rFonts w:ascii="Arial" w:hAnsi="Arial" w:cs="Arial"/>
          <w:bCs/>
        </w:rPr>
        <w:t>rada Križevaca za pl</w:t>
      </w:r>
      <w:r w:rsidR="00ED1F3D">
        <w:rPr>
          <w:rFonts w:ascii="Arial" w:hAnsi="Arial" w:cs="Arial"/>
          <w:bCs/>
        </w:rPr>
        <w:t>a</w:t>
      </w:r>
      <w:r w:rsidR="009B6943">
        <w:rPr>
          <w:rFonts w:ascii="Arial" w:hAnsi="Arial" w:cs="Arial"/>
          <w:bCs/>
        </w:rPr>
        <w:t>ćene predujmove</w:t>
      </w:r>
      <w:r w:rsidR="00587C4B">
        <w:rPr>
          <w:rFonts w:ascii="Arial" w:hAnsi="Arial" w:cs="Arial"/>
          <w:bCs/>
        </w:rPr>
        <w:t xml:space="preserve"> i </w:t>
      </w:r>
      <w:proofErr w:type="spellStart"/>
      <w:r w:rsidR="00587C4B">
        <w:rPr>
          <w:rFonts w:ascii="Arial" w:hAnsi="Arial" w:cs="Arial"/>
          <w:bCs/>
        </w:rPr>
        <w:t>predfinanciranje</w:t>
      </w:r>
      <w:proofErr w:type="spellEnd"/>
      <w:r w:rsidR="00587C4B">
        <w:rPr>
          <w:rFonts w:ascii="Arial" w:hAnsi="Arial" w:cs="Arial"/>
          <w:bCs/>
        </w:rPr>
        <w:t xml:space="preserve"> </w:t>
      </w:r>
      <w:r w:rsidR="00D7118A">
        <w:rPr>
          <w:rFonts w:ascii="Arial" w:hAnsi="Arial" w:cs="Arial"/>
          <w:bCs/>
        </w:rPr>
        <w:t>troškova nabave suvremenog prijenosnog kina i građevinsko ob</w:t>
      </w:r>
      <w:r w:rsidR="00980FE5">
        <w:rPr>
          <w:rFonts w:ascii="Arial" w:hAnsi="Arial" w:cs="Arial"/>
          <w:bCs/>
        </w:rPr>
        <w:t>rtničkih radova u podrumskoj dvorani Hrvatskog doma</w:t>
      </w:r>
      <w:r w:rsidR="00877542">
        <w:rPr>
          <w:rFonts w:ascii="Arial" w:hAnsi="Arial" w:cs="Arial"/>
          <w:bCs/>
        </w:rPr>
        <w:t xml:space="preserve"> u </w:t>
      </w:r>
      <w:r w:rsidR="00AC5528">
        <w:rPr>
          <w:rFonts w:ascii="Arial" w:hAnsi="Arial" w:cs="Arial"/>
          <w:bCs/>
        </w:rPr>
        <w:t xml:space="preserve">ukupnom </w:t>
      </w:r>
      <w:r w:rsidR="00877542">
        <w:rPr>
          <w:rFonts w:ascii="Arial" w:hAnsi="Arial" w:cs="Arial"/>
          <w:bCs/>
        </w:rPr>
        <w:t>iznosu od 53.623,95 eura</w:t>
      </w:r>
      <w:r w:rsidR="00980FE5">
        <w:rPr>
          <w:rFonts w:ascii="Arial" w:hAnsi="Arial" w:cs="Arial"/>
          <w:bCs/>
        </w:rPr>
        <w:t>.</w:t>
      </w:r>
    </w:p>
    <w:p w14:paraId="376371C3" w14:textId="77641D2E" w:rsidR="008958BC" w:rsidRPr="008958BC" w:rsidRDefault="008958BC" w:rsidP="00564821">
      <w:pPr>
        <w:jc w:val="both"/>
        <w:rPr>
          <w:rFonts w:ascii="Arial" w:hAnsi="Arial" w:cs="Arial"/>
          <w:b/>
          <w:bCs/>
        </w:rPr>
      </w:pPr>
      <w:r w:rsidRPr="008958BC">
        <w:rPr>
          <w:rFonts w:ascii="Arial" w:hAnsi="Arial" w:cs="Arial"/>
          <w:b/>
          <w:bCs/>
        </w:rPr>
        <w:t>Bilješka br.3</w:t>
      </w:r>
      <w:r w:rsidR="004E27F8">
        <w:rPr>
          <w:rFonts w:ascii="Arial" w:hAnsi="Arial" w:cs="Arial"/>
          <w:b/>
          <w:bCs/>
        </w:rPr>
        <w:t>2</w:t>
      </w:r>
    </w:p>
    <w:p w14:paraId="3CBC57B5" w14:textId="29196E32" w:rsidR="000F48D7" w:rsidRDefault="008958BC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V004</w:t>
      </w:r>
      <w:r w:rsidR="000F48D7" w:rsidRPr="000F48D7">
        <w:rPr>
          <w:rFonts w:ascii="Arial" w:hAnsi="Arial" w:cs="Arial"/>
          <w:b/>
        </w:rPr>
        <w:t>- Podmirene obveze u izvještajnom razdoblju</w:t>
      </w:r>
    </w:p>
    <w:p w14:paraId="7A7E392F" w14:textId="2BAB9B15" w:rsidR="0027750F" w:rsidRPr="006A71E5" w:rsidRDefault="000F48D7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Podmirene obveze 202</w:t>
      </w:r>
      <w:r w:rsidR="00E8191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godine iznose </w:t>
      </w:r>
      <w:r w:rsidR="00072B38" w:rsidRPr="006A71E5">
        <w:rPr>
          <w:rFonts w:ascii="Arial" w:hAnsi="Arial" w:cs="Arial"/>
          <w:bCs/>
        </w:rPr>
        <w:t>323.901,36 eura</w:t>
      </w:r>
      <w:r w:rsidRPr="006A71E5">
        <w:rPr>
          <w:rFonts w:ascii="Arial" w:hAnsi="Arial" w:cs="Arial"/>
          <w:bCs/>
        </w:rPr>
        <w:t xml:space="preserve">, od čega </w:t>
      </w:r>
      <w:r w:rsidR="004F1F57" w:rsidRPr="006A71E5">
        <w:rPr>
          <w:rFonts w:ascii="Arial" w:hAnsi="Arial" w:cs="Arial"/>
          <w:bCs/>
        </w:rPr>
        <w:t xml:space="preserve">šifra </w:t>
      </w:r>
      <w:r w:rsidR="00072B38" w:rsidRPr="006A71E5">
        <w:rPr>
          <w:rFonts w:ascii="Arial" w:hAnsi="Arial" w:cs="Arial"/>
          <w:bCs/>
        </w:rPr>
        <w:t xml:space="preserve">V005 </w:t>
      </w:r>
      <w:r w:rsidR="006C47C1" w:rsidRPr="006A71E5">
        <w:rPr>
          <w:rFonts w:ascii="Arial" w:hAnsi="Arial" w:cs="Arial"/>
          <w:bCs/>
        </w:rPr>
        <w:t xml:space="preserve"> iznosi 55.599,77 eura </w:t>
      </w:r>
      <w:r w:rsidRPr="006A71E5">
        <w:rPr>
          <w:rFonts w:ascii="Arial" w:hAnsi="Arial" w:cs="Arial"/>
          <w:bCs/>
        </w:rPr>
        <w:t>podmirenih obveza između proračunskih korisnika</w:t>
      </w:r>
      <w:r w:rsidR="008958BC" w:rsidRPr="006A71E5">
        <w:rPr>
          <w:rFonts w:ascii="Arial" w:hAnsi="Arial" w:cs="Arial"/>
          <w:bCs/>
        </w:rPr>
        <w:t xml:space="preserve"> navedenih u bilješci br.3</w:t>
      </w:r>
      <w:r w:rsidR="006C47C1" w:rsidRPr="006A71E5">
        <w:rPr>
          <w:rFonts w:ascii="Arial" w:hAnsi="Arial" w:cs="Arial"/>
          <w:bCs/>
        </w:rPr>
        <w:t>1</w:t>
      </w:r>
      <w:r w:rsidR="008958BC" w:rsidRPr="006A71E5">
        <w:rPr>
          <w:rFonts w:ascii="Arial" w:hAnsi="Arial" w:cs="Arial"/>
          <w:bCs/>
        </w:rPr>
        <w:t>.</w:t>
      </w:r>
    </w:p>
    <w:p w14:paraId="5A9EAEBA" w14:textId="6BF4D14E" w:rsidR="00997907" w:rsidRPr="00997907" w:rsidRDefault="00997907" w:rsidP="00564821">
      <w:pPr>
        <w:jc w:val="both"/>
        <w:rPr>
          <w:rFonts w:ascii="Arial" w:hAnsi="Arial" w:cs="Arial"/>
          <w:b/>
        </w:rPr>
      </w:pPr>
      <w:r w:rsidRPr="00997907">
        <w:rPr>
          <w:rFonts w:ascii="Arial" w:hAnsi="Arial" w:cs="Arial"/>
          <w:b/>
        </w:rPr>
        <w:t>Bilješka br.</w:t>
      </w:r>
      <w:r w:rsidR="008958BC">
        <w:rPr>
          <w:rFonts w:ascii="Arial" w:hAnsi="Arial" w:cs="Arial"/>
          <w:b/>
        </w:rPr>
        <w:t>3</w:t>
      </w:r>
      <w:r w:rsidR="004F1F57">
        <w:rPr>
          <w:rFonts w:ascii="Arial" w:hAnsi="Arial" w:cs="Arial"/>
          <w:b/>
        </w:rPr>
        <w:t>3</w:t>
      </w:r>
    </w:p>
    <w:p w14:paraId="65E44690" w14:textId="287143EB" w:rsidR="00F83D17" w:rsidRDefault="008958BC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V006-</w:t>
      </w:r>
      <w:r w:rsidR="00BC2EBC" w:rsidRPr="00273AEB">
        <w:rPr>
          <w:rFonts w:ascii="Arial" w:hAnsi="Arial" w:cs="Arial"/>
          <w:b/>
        </w:rPr>
        <w:t xml:space="preserve"> </w:t>
      </w:r>
      <w:r w:rsidR="00307468" w:rsidRPr="00273AEB">
        <w:rPr>
          <w:rFonts w:ascii="Arial" w:hAnsi="Arial" w:cs="Arial"/>
          <w:b/>
        </w:rPr>
        <w:t xml:space="preserve">Stanje obaveza na kraju izvještajnog razdoblja </w:t>
      </w:r>
    </w:p>
    <w:p w14:paraId="75A768A3" w14:textId="428B3AA2" w:rsidR="00560CD6" w:rsidRPr="003169EF" w:rsidRDefault="00560CD6" w:rsidP="00564821">
      <w:pPr>
        <w:jc w:val="both"/>
        <w:rPr>
          <w:rFonts w:ascii="Arial" w:hAnsi="Arial" w:cs="Arial"/>
          <w:bCs/>
        </w:rPr>
      </w:pPr>
      <w:r w:rsidRPr="003169EF">
        <w:rPr>
          <w:rFonts w:ascii="Arial" w:hAnsi="Arial" w:cs="Arial"/>
          <w:bCs/>
        </w:rPr>
        <w:t xml:space="preserve">Stanje obveza na kraju izvještajnog razdoblja iznosi </w:t>
      </w:r>
      <w:r w:rsidR="003169EF" w:rsidRPr="003169EF">
        <w:rPr>
          <w:rFonts w:ascii="Arial" w:hAnsi="Arial" w:cs="Arial"/>
          <w:bCs/>
        </w:rPr>
        <w:t>13.062,20 eura</w:t>
      </w:r>
    </w:p>
    <w:p w14:paraId="55C95DCD" w14:textId="288ECF0F" w:rsidR="00437481" w:rsidRDefault="002214D4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toga dospjele obveze iznose </w:t>
      </w:r>
      <w:r w:rsidR="00437481">
        <w:rPr>
          <w:rFonts w:ascii="Arial" w:hAnsi="Arial" w:cs="Arial"/>
        </w:rPr>
        <w:t>670,96 eura</w:t>
      </w:r>
      <w:r w:rsidR="0009391D">
        <w:rPr>
          <w:rFonts w:ascii="Arial" w:hAnsi="Arial" w:cs="Arial"/>
        </w:rPr>
        <w:t xml:space="preserve">. </w:t>
      </w:r>
      <w:r w:rsidR="009758D3">
        <w:rPr>
          <w:rFonts w:ascii="Arial" w:hAnsi="Arial" w:cs="Arial"/>
        </w:rPr>
        <w:t xml:space="preserve">Obveze nisu plaćene jer su računi </w:t>
      </w:r>
      <w:r w:rsidR="00EC4D9D">
        <w:rPr>
          <w:rFonts w:ascii="Arial" w:hAnsi="Arial" w:cs="Arial"/>
        </w:rPr>
        <w:t>za izvršene usluge stigli nakon valuta naznačenih za plaćanje.</w:t>
      </w:r>
    </w:p>
    <w:p w14:paraId="1294883E" w14:textId="450C3910" w:rsidR="008958BC" w:rsidRDefault="00EC4D9D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958BC">
        <w:rPr>
          <w:rFonts w:ascii="Arial" w:hAnsi="Arial" w:cs="Arial"/>
        </w:rPr>
        <w:t>edospjele</w:t>
      </w:r>
      <w:r>
        <w:rPr>
          <w:rFonts w:ascii="Arial" w:hAnsi="Arial" w:cs="Arial"/>
        </w:rPr>
        <w:t xml:space="preserve"> obveze iznose </w:t>
      </w:r>
      <w:r w:rsidR="00434375">
        <w:rPr>
          <w:rFonts w:ascii="Arial" w:hAnsi="Arial" w:cs="Arial"/>
        </w:rPr>
        <w:t>12.391,24 eura</w:t>
      </w:r>
      <w:r w:rsidR="00F16173" w:rsidRPr="00273AEB">
        <w:rPr>
          <w:rFonts w:ascii="Arial" w:hAnsi="Arial" w:cs="Arial"/>
        </w:rPr>
        <w:t xml:space="preserve">: </w:t>
      </w:r>
      <w:r w:rsidR="00FD532E" w:rsidRPr="00273AEB">
        <w:rPr>
          <w:rFonts w:ascii="Arial" w:hAnsi="Arial" w:cs="Arial"/>
        </w:rPr>
        <w:t xml:space="preserve">za plaće </w:t>
      </w:r>
      <w:r w:rsidR="009E23E8" w:rsidRPr="00273AEB">
        <w:rPr>
          <w:rFonts w:ascii="Arial" w:hAnsi="Arial" w:cs="Arial"/>
        </w:rPr>
        <w:t xml:space="preserve">za </w:t>
      </w:r>
      <w:r w:rsidR="00910122" w:rsidRPr="00273AEB">
        <w:rPr>
          <w:rFonts w:ascii="Arial" w:hAnsi="Arial" w:cs="Arial"/>
        </w:rPr>
        <w:t>prosinac</w:t>
      </w:r>
      <w:r w:rsidR="00AE6403" w:rsidRPr="00273AEB">
        <w:rPr>
          <w:rFonts w:ascii="Arial" w:hAnsi="Arial" w:cs="Arial"/>
        </w:rPr>
        <w:t xml:space="preserve"> 20</w:t>
      </w:r>
      <w:r w:rsidR="00997907">
        <w:rPr>
          <w:rFonts w:ascii="Arial" w:hAnsi="Arial" w:cs="Arial"/>
        </w:rPr>
        <w:t>2</w:t>
      </w:r>
      <w:r w:rsidR="00434375">
        <w:rPr>
          <w:rFonts w:ascii="Arial" w:hAnsi="Arial" w:cs="Arial"/>
        </w:rPr>
        <w:t>3</w:t>
      </w:r>
      <w:r w:rsidR="0005678A" w:rsidRPr="00273AEB">
        <w:rPr>
          <w:rFonts w:ascii="Arial" w:hAnsi="Arial" w:cs="Arial"/>
        </w:rPr>
        <w:t>.</w:t>
      </w:r>
      <w:r w:rsidR="005273C7">
        <w:rPr>
          <w:rFonts w:ascii="Arial" w:hAnsi="Arial" w:cs="Arial"/>
        </w:rPr>
        <w:t>godine</w:t>
      </w:r>
      <w:r w:rsidR="00F16173" w:rsidRPr="00273AEB">
        <w:rPr>
          <w:rFonts w:ascii="Arial" w:hAnsi="Arial" w:cs="Arial"/>
        </w:rPr>
        <w:t>,</w:t>
      </w:r>
      <w:r w:rsidR="005313F0" w:rsidRPr="00273AEB">
        <w:rPr>
          <w:rFonts w:ascii="Arial" w:hAnsi="Arial" w:cs="Arial"/>
        </w:rPr>
        <w:t xml:space="preserve">te </w:t>
      </w:r>
      <w:r w:rsidR="007C6F8B" w:rsidRPr="00273AEB">
        <w:rPr>
          <w:rFonts w:ascii="Arial" w:hAnsi="Arial" w:cs="Arial"/>
        </w:rPr>
        <w:t xml:space="preserve">za rashode </w:t>
      </w:r>
      <w:r w:rsidR="00C55FD1" w:rsidRPr="00273AEB">
        <w:rPr>
          <w:rFonts w:ascii="Arial" w:hAnsi="Arial" w:cs="Arial"/>
        </w:rPr>
        <w:t>p</w:t>
      </w:r>
      <w:r w:rsidR="007C6F8B" w:rsidRPr="00273AEB">
        <w:rPr>
          <w:rFonts w:ascii="Arial" w:hAnsi="Arial" w:cs="Arial"/>
        </w:rPr>
        <w:t>oslovanja</w:t>
      </w:r>
      <w:r w:rsidR="007309AE" w:rsidRPr="00273AEB">
        <w:rPr>
          <w:rFonts w:ascii="Arial" w:hAnsi="Arial" w:cs="Arial"/>
        </w:rPr>
        <w:t xml:space="preserve"> nastale u prosincu 20</w:t>
      </w:r>
      <w:r w:rsidR="00C85158">
        <w:rPr>
          <w:rFonts w:ascii="Arial" w:hAnsi="Arial" w:cs="Arial"/>
        </w:rPr>
        <w:t>2</w:t>
      </w:r>
      <w:r w:rsidR="00434375">
        <w:rPr>
          <w:rFonts w:ascii="Arial" w:hAnsi="Arial" w:cs="Arial"/>
        </w:rPr>
        <w:t>3</w:t>
      </w:r>
      <w:r w:rsidR="008F4A2D">
        <w:rPr>
          <w:rFonts w:ascii="Arial" w:hAnsi="Arial" w:cs="Arial"/>
        </w:rPr>
        <w:t>.</w:t>
      </w:r>
      <w:r w:rsidR="005273C7">
        <w:rPr>
          <w:rFonts w:ascii="Arial" w:hAnsi="Arial" w:cs="Arial"/>
        </w:rPr>
        <w:t>godine.</w:t>
      </w:r>
    </w:p>
    <w:p w14:paraId="36D7C523" w14:textId="0333510E" w:rsidR="008F4A2D" w:rsidRDefault="0038580D" w:rsidP="00564821">
      <w:pPr>
        <w:jc w:val="both"/>
        <w:rPr>
          <w:rFonts w:ascii="Arial" w:hAnsi="Arial" w:cs="Arial"/>
          <w:bCs/>
        </w:rPr>
      </w:pPr>
      <w:r w:rsidRPr="006A71E5">
        <w:rPr>
          <w:rFonts w:ascii="Arial" w:hAnsi="Arial" w:cs="Arial"/>
        </w:rPr>
        <w:t xml:space="preserve">Od nedospjelih obveza </w:t>
      </w:r>
      <w:r w:rsidR="00416D24" w:rsidRPr="006A71E5">
        <w:rPr>
          <w:rFonts w:ascii="Arial" w:hAnsi="Arial" w:cs="Arial"/>
        </w:rPr>
        <w:t>255,10 eura</w:t>
      </w:r>
      <w:r w:rsidRPr="006A71E5">
        <w:rPr>
          <w:rFonts w:ascii="Arial" w:hAnsi="Arial" w:cs="Arial"/>
        </w:rPr>
        <w:t xml:space="preserve"> su nedospjele obveze među proračunsk</w:t>
      </w:r>
      <w:r w:rsidR="004C4E7D" w:rsidRPr="006A71E5">
        <w:rPr>
          <w:rFonts w:ascii="Arial" w:hAnsi="Arial" w:cs="Arial"/>
        </w:rPr>
        <w:t>i</w:t>
      </w:r>
      <w:r w:rsidRPr="006A71E5">
        <w:rPr>
          <w:rFonts w:ascii="Arial" w:hAnsi="Arial" w:cs="Arial"/>
        </w:rPr>
        <w:t>m korisnicima.</w:t>
      </w:r>
      <w:r w:rsidR="008F4A2D" w:rsidRPr="006A71E5">
        <w:rPr>
          <w:rFonts w:ascii="Arial" w:hAnsi="Arial" w:cs="Arial"/>
        </w:rPr>
        <w:t xml:space="preserve"> </w:t>
      </w:r>
      <w:r w:rsidR="008F4A2D" w:rsidRPr="006A71E5">
        <w:rPr>
          <w:rFonts w:ascii="Arial" w:hAnsi="Arial" w:cs="Arial"/>
          <w:bCs/>
        </w:rPr>
        <w:t>Radi se o refundaciji troškova energenata Gradskoj knjižnici</w:t>
      </w:r>
      <w:r w:rsidR="008F4A2D">
        <w:rPr>
          <w:rFonts w:ascii="Arial" w:hAnsi="Arial" w:cs="Arial"/>
          <w:bCs/>
        </w:rPr>
        <w:t xml:space="preserve"> Franjo Marković Križevci</w:t>
      </w:r>
      <w:r w:rsidR="009D299F">
        <w:rPr>
          <w:rFonts w:ascii="Arial" w:hAnsi="Arial" w:cs="Arial"/>
          <w:bCs/>
        </w:rPr>
        <w:t xml:space="preserve"> za prosinac 202</w:t>
      </w:r>
      <w:r w:rsidR="00416D24">
        <w:rPr>
          <w:rFonts w:ascii="Arial" w:hAnsi="Arial" w:cs="Arial"/>
          <w:bCs/>
        </w:rPr>
        <w:t>3</w:t>
      </w:r>
      <w:r w:rsidR="009D299F">
        <w:rPr>
          <w:rFonts w:ascii="Arial" w:hAnsi="Arial" w:cs="Arial"/>
          <w:bCs/>
        </w:rPr>
        <w:t>.godine</w:t>
      </w:r>
      <w:r w:rsidR="008F4A2D">
        <w:rPr>
          <w:rFonts w:ascii="Arial" w:hAnsi="Arial" w:cs="Arial"/>
          <w:bCs/>
        </w:rPr>
        <w:t>.</w:t>
      </w:r>
    </w:p>
    <w:p w14:paraId="65A127E8" w14:textId="77777777" w:rsidR="004C4E7D" w:rsidRPr="00063D00" w:rsidRDefault="004C4E7D" w:rsidP="00564821">
      <w:pPr>
        <w:jc w:val="both"/>
        <w:rPr>
          <w:rFonts w:ascii="Arial" w:hAnsi="Arial" w:cs="Arial"/>
          <w:bCs/>
        </w:rPr>
      </w:pPr>
    </w:p>
    <w:p w14:paraId="1C5CED8D" w14:textId="71B6929A" w:rsidR="008F1BB6" w:rsidRPr="00A252C0" w:rsidRDefault="00165CC8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</w:t>
      </w:r>
      <w:r w:rsidR="00BA3E06">
        <w:rPr>
          <w:rFonts w:ascii="Arial" w:hAnsi="Arial" w:cs="Arial"/>
        </w:rPr>
        <w:t>s p</w:t>
      </w:r>
      <w:r w:rsidR="008F1BB6">
        <w:rPr>
          <w:rFonts w:ascii="Arial" w:hAnsi="Arial" w:cs="Arial"/>
        </w:rPr>
        <w:t>odaci</w:t>
      </w:r>
      <w:r w:rsidR="00BA3E06">
        <w:rPr>
          <w:rFonts w:ascii="Arial" w:hAnsi="Arial" w:cs="Arial"/>
        </w:rPr>
        <w:t xml:space="preserve">ma </w:t>
      </w:r>
      <w:r w:rsidR="008F1BB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međusobnim </w:t>
      </w:r>
      <w:r w:rsidR="008F1BB6">
        <w:rPr>
          <w:rFonts w:ascii="Arial" w:hAnsi="Arial" w:cs="Arial"/>
        </w:rPr>
        <w:t xml:space="preserve">obvezama </w:t>
      </w:r>
      <w:r w:rsidR="00BC7D42">
        <w:rPr>
          <w:rFonts w:ascii="Arial" w:hAnsi="Arial" w:cs="Arial"/>
        </w:rPr>
        <w:t>proračunskih korisnika G</w:t>
      </w:r>
      <w:r w:rsidR="008F1BB6">
        <w:rPr>
          <w:rFonts w:ascii="Arial" w:hAnsi="Arial" w:cs="Arial"/>
        </w:rPr>
        <w:t>rada Križevaca:</w:t>
      </w:r>
    </w:p>
    <w:p w14:paraId="16769B45" w14:textId="77777777" w:rsidR="003F085B" w:rsidRPr="00273AEB" w:rsidRDefault="001B7A2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1952"/>
        <w:gridCol w:w="1688"/>
        <w:gridCol w:w="1693"/>
        <w:gridCol w:w="2184"/>
      </w:tblGrid>
      <w:tr w:rsidR="00876825" w14:paraId="6B5BD162" w14:textId="5964CFE6" w:rsidTr="00876825">
        <w:tc>
          <w:tcPr>
            <w:tcW w:w="1545" w:type="dxa"/>
          </w:tcPr>
          <w:p w14:paraId="68D1B797" w14:textId="77777777" w:rsidR="00876825" w:rsidRDefault="00876825" w:rsidP="00D17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8E57631" w14:textId="57AB7C70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obveza 01.01.2023.-EUR</w:t>
            </w:r>
          </w:p>
        </w:tc>
        <w:tc>
          <w:tcPr>
            <w:tcW w:w="1688" w:type="dxa"/>
          </w:tcPr>
          <w:p w14:paraId="55F409A5" w14:textId="3EF65299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Povećanje   EUR</w:t>
            </w:r>
          </w:p>
        </w:tc>
        <w:tc>
          <w:tcPr>
            <w:tcW w:w="1693" w:type="dxa"/>
          </w:tcPr>
          <w:p w14:paraId="0E22E299" w14:textId="5B9F58C1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Smanjenje EUR</w:t>
            </w:r>
          </w:p>
        </w:tc>
        <w:tc>
          <w:tcPr>
            <w:tcW w:w="2184" w:type="dxa"/>
          </w:tcPr>
          <w:p w14:paraId="0B889BB3" w14:textId="359B2F5F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obveza 31.12.2023.EUR</w:t>
            </w:r>
          </w:p>
        </w:tc>
      </w:tr>
      <w:tr w:rsidR="00876825" w14:paraId="3715C2E8" w14:textId="143B28A3" w:rsidTr="00876825">
        <w:tc>
          <w:tcPr>
            <w:tcW w:w="1545" w:type="dxa"/>
          </w:tcPr>
          <w:p w14:paraId="6F21E78F" w14:textId="10BA2EC3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 </w:t>
            </w:r>
            <w:r w:rsidR="00382040">
              <w:rPr>
                <w:rFonts w:ascii="Arial" w:hAnsi="Arial" w:cs="Arial"/>
              </w:rPr>
              <w:t>KORISNICI</w:t>
            </w:r>
          </w:p>
        </w:tc>
        <w:tc>
          <w:tcPr>
            <w:tcW w:w="1952" w:type="dxa"/>
          </w:tcPr>
          <w:p w14:paraId="3C7C9995" w14:textId="6EF604C5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460,42</w:t>
            </w:r>
          </w:p>
        </w:tc>
        <w:tc>
          <w:tcPr>
            <w:tcW w:w="1688" w:type="dxa"/>
          </w:tcPr>
          <w:p w14:paraId="131CC212" w14:textId="50196ECF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55.394,45</w:t>
            </w:r>
          </w:p>
        </w:tc>
        <w:tc>
          <w:tcPr>
            <w:tcW w:w="1693" w:type="dxa"/>
          </w:tcPr>
          <w:p w14:paraId="514DF751" w14:textId="575B96A6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55.599,77</w:t>
            </w:r>
          </w:p>
        </w:tc>
        <w:tc>
          <w:tcPr>
            <w:tcW w:w="2184" w:type="dxa"/>
          </w:tcPr>
          <w:p w14:paraId="3C92ABEA" w14:textId="068BF186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255,10</w:t>
            </w:r>
          </w:p>
        </w:tc>
      </w:tr>
      <w:tr w:rsidR="00876825" w14:paraId="0DEA909D" w14:textId="7C8947C6" w:rsidTr="00876825">
        <w:tc>
          <w:tcPr>
            <w:tcW w:w="1545" w:type="dxa"/>
          </w:tcPr>
          <w:p w14:paraId="3D498DC2" w14:textId="2FD588FE" w:rsidR="00876825" w:rsidRDefault="00382040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KRIŽEVCI</w:t>
            </w:r>
          </w:p>
        </w:tc>
        <w:tc>
          <w:tcPr>
            <w:tcW w:w="1952" w:type="dxa"/>
          </w:tcPr>
          <w:p w14:paraId="58E30802" w14:textId="2A0359BA" w:rsidR="00876825" w:rsidRDefault="00382040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88" w:type="dxa"/>
          </w:tcPr>
          <w:p w14:paraId="18B72ABE" w14:textId="78E00D72" w:rsidR="00876825" w:rsidRDefault="00740742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53.623,95</w:t>
            </w:r>
          </w:p>
        </w:tc>
        <w:tc>
          <w:tcPr>
            <w:tcW w:w="1693" w:type="dxa"/>
          </w:tcPr>
          <w:p w14:paraId="45EF71B9" w14:textId="606D1B52" w:rsidR="00876825" w:rsidRDefault="00740742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53.623,95</w:t>
            </w:r>
          </w:p>
        </w:tc>
        <w:tc>
          <w:tcPr>
            <w:tcW w:w="2184" w:type="dxa"/>
          </w:tcPr>
          <w:p w14:paraId="39936B12" w14:textId="562EA6DD" w:rsidR="00876825" w:rsidRDefault="00740742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76825" w14:paraId="355B5E5A" w14:textId="0DE014F2" w:rsidTr="00876825">
        <w:tc>
          <w:tcPr>
            <w:tcW w:w="1545" w:type="dxa"/>
          </w:tcPr>
          <w:p w14:paraId="7B6CF6E1" w14:textId="3AEFCDFD" w:rsidR="00876825" w:rsidRDefault="0046558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GRADSKA KNJIŽNICA</w:t>
            </w:r>
          </w:p>
        </w:tc>
        <w:tc>
          <w:tcPr>
            <w:tcW w:w="1952" w:type="dxa"/>
          </w:tcPr>
          <w:p w14:paraId="7ABA98AB" w14:textId="3823127E" w:rsidR="00876825" w:rsidRDefault="0046558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460,42</w:t>
            </w:r>
          </w:p>
        </w:tc>
        <w:tc>
          <w:tcPr>
            <w:tcW w:w="1688" w:type="dxa"/>
          </w:tcPr>
          <w:p w14:paraId="637FDCD1" w14:textId="1BFE5EE3" w:rsidR="00876825" w:rsidRDefault="008A59F1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1.770,50</w:t>
            </w:r>
          </w:p>
        </w:tc>
        <w:tc>
          <w:tcPr>
            <w:tcW w:w="1693" w:type="dxa"/>
          </w:tcPr>
          <w:p w14:paraId="3B473224" w14:textId="260B983F" w:rsidR="00876825" w:rsidRDefault="00F310EC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40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975,82</w:t>
            </w:r>
          </w:p>
        </w:tc>
        <w:tc>
          <w:tcPr>
            <w:tcW w:w="2184" w:type="dxa"/>
          </w:tcPr>
          <w:p w14:paraId="68904B7F" w14:textId="06D06252" w:rsidR="00876825" w:rsidRDefault="00ED0753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255,10</w:t>
            </w:r>
          </w:p>
        </w:tc>
      </w:tr>
    </w:tbl>
    <w:p w14:paraId="00262C02" w14:textId="5907ACA2" w:rsidR="00B86C1D" w:rsidRDefault="00B86C1D" w:rsidP="00D17B5E">
      <w:pPr>
        <w:jc w:val="center"/>
        <w:rPr>
          <w:rFonts w:ascii="Arial" w:hAnsi="Arial" w:cs="Arial"/>
        </w:rPr>
      </w:pPr>
    </w:p>
    <w:p w14:paraId="4117A667" w14:textId="77777777" w:rsidR="00AD67CB" w:rsidRPr="00273AEB" w:rsidRDefault="00AD67CB" w:rsidP="00564821">
      <w:pPr>
        <w:jc w:val="both"/>
        <w:rPr>
          <w:rFonts w:ascii="Arial" w:hAnsi="Arial" w:cs="Arial"/>
        </w:rPr>
      </w:pPr>
    </w:p>
    <w:p w14:paraId="5372E87F" w14:textId="6D405D4C" w:rsidR="00B86C1D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9113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B86C1D" w:rsidRPr="00273AEB">
        <w:rPr>
          <w:rFonts w:ascii="Arial" w:hAnsi="Arial" w:cs="Arial"/>
          <w:b/>
        </w:rPr>
        <w:t>OBRAZAC –P-VRIO</w:t>
      </w:r>
    </w:p>
    <w:p w14:paraId="22E51C9C" w14:textId="3C444DFA" w:rsidR="00911352" w:rsidRPr="00273AEB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911352">
        <w:rPr>
          <w:rFonts w:ascii="Arial" w:hAnsi="Arial" w:cs="Arial"/>
          <w:b/>
        </w:rPr>
        <w:t xml:space="preserve">Izvještaj o promjenama u vrijednosti i obujmu imovine i obveza </w:t>
      </w:r>
    </w:p>
    <w:p w14:paraId="7A4E2A93" w14:textId="77777777" w:rsidR="00DE1A24" w:rsidRPr="00273AEB" w:rsidRDefault="00DE1A24" w:rsidP="00564821">
      <w:pPr>
        <w:jc w:val="both"/>
        <w:rPr>
          <w:rFonts w:ascii="Arial" w:hAnsi="Arial" w:cs="Arial"/>
          <w:b/>
        </w:rPr>
      </w:pPr>
    </w:p>
    <w:p w14:paraId="23C43AD9" w14:textId="17FFEF04" w:rsidR="00B86C1D" w:rsidRPr="00273AEB" w:rsidRDefault="00B86C1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C0F7F">
        <w:rPr>
          <w:rFonts w:ascii="Arial" w:hAnsi="Arial" w:cs="Arial"/>
          <w:b/>
        </w:rPr>
        <w:t>3</w:t>
      </w:r>
      <w:r w:rsidR="009F7506">
        <w:rPr>
          <w:rFonts w:ascii="Arial" w:hAnsi="Arial" w:cs="Arial"/>
          <w:b/>
        </w:rPr>
        <w:t>4</w:t>
      </w:r>
    </w:p>
    <w:p w14:paraId="2417DF77" w14:textId="05EC110A" w:rsidR="00866007" w:rsidRDefault="0079744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Promjena u vrijednosti i obujmu imovine i obveza u 202</w:t>
      </w:r>
      <w:r w:rsidR="009F7506">
        <w:rPr>
          <w:rFonts w:ascii="Arial" w:hAnsi="Arial" w:cs="Arial"/>
        </w:rPr>
        <w:t>3</w:t>
      </w:r>
      <w:r>
        <w:rPr>
          <w:rFonts w:ascii="Arial" w:hAnsi="Arial" w:cs="Arial"/>
        </w:rPr>
        <w:t>. godini Učilište nije imalo.</w:t>
      </w:r>
    </w:p>
    <w:p w14:paraId="572845C6" w14:textId="77777777" w:rsidR="00797440" w:rsidRDefault="00797440" w:rsidP="00564821">
      <w:pPr>
        <w:jc w:val="both"/>
        <w:rPr>
          <w:rFonts w:ascii="Arial" w:hAnsi="Arial" w:cs="Arial"/>
        </w:rPr>
      </w:pPr>
    </w:p>
    <w:p w14:paraId="43578B45" w14:textId="77777777" w:rsidR="00AD67CB" w:rsidRPr="00273AEB" w:rsidRDefault="00AD67CB" w:rsidP="00564821">
      <w:pPr>
        <w:jc w:val="both"/>
        <w:rPr>
          <w:rFonts w:ascii="Arial" w:hAnsi="Arial" w:cs="Arial"/>
        </w:rPr>
      </w:pPr>
    </w:p>
    <w:p w14:paraId="42E4A807" w14:textId="79E80514" w:rsidR="00DE1A24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9113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DE1A24" w:rsidRPr="00273AEB">
        <w:rPr>
          <w:rFonts w:ascii="Arial" w:hAnsi="Arial" w:cs="Arial"/>
          <w:b/>
        </w:rPr>
        <w:t>BILJEŠKA UZ OBRAZAC RAS-funkcijski</w:t>
      </w:r>
    </w:p>
    <w:p w14:paraId="4061FF84" w14:textId="09E1F36D" w:rsidR="00911352" w:rsidRPr="00273AEB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911352">
        <w:rPr>
          <w:rFonts w:ascii="Arial" w:hAnsi="Arial" w:cs="Arial"/>
          <w:b/>
        </w:rPr>
        <w:t>Izvještaj o rashodima prema funkcijskoj klasifikaciji</w:t>
      </w:r>
    </w:p>
    <w:p w14:paraId="590EFF8A" w14:textId="77777777" w:rsidR="00DE1A24" w:rsidRPr="00273AEB" w:rsidRDefault="00DE1A24" w:rsidP="00564821">
      <w:pPr>
        <w:jc w:val="both"/>
        <w:rPr>
          <w:rFonts w:ascii="Arial" w:hAnsi="Arial" w:cs="Arial"/>
          <w:b/>
        </w:rPr>
      </w:pPr>
    </w:p>
    <w:p w14:paraId="2F6E39A9" w14:textId="1FEFE857" w:rsidR="00DE1A24" w:rsidRPr="00273AEB" w:rsidRDefault="00DE1A24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broj </w:t>
      </w:r>
      <w:r w:rsidR="006B78F5">
        <w:rPr>
          <w:rFonts w:ascii="Arial" w:hAnsi="Arial" w:cs="Arial"/>
          <w:b/>
        </w:rPr>
        <w:t>3</w:t>
      </w:r>
      <w:r w:rsidR="00EE7BAB">
        <w:rPr>
          <w:rFonts w:ascii="Arial" w:hAnsi="Arial" w:cs="Arial"/>
          <w:b/>
        </w:rPr>
        <w:t>5</w:t>
      </w:r>
    </w:p>
    <w:p w14:paraId="1449FDE4" w14:textId="77777777" w:rsidR="00797440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082-</w:t>
      </w:r>
      <w:r w:rsidR="00BD1BE9">
        <w:rPr>
          <w:rFonts w:ascii="Arial" w:hAnsi="Arial" w:cs="Arial"/>
          <w:b/>
        </w:rPr>
        <w:t xml:space="preserve"> Službe kulture </w:t>
      </w:r>
    </w:p>
    <w:p w14:paraId="728F0234" w14:textId="6C49C724" w:rsidR="00DE1A24" w:rsidRDefault="00797440" w:rsidP="00564821">
      <w:pPr>
        <w:jc w:val="both"/>
        <w:rPr>
          <w:rFonts w:ascii="Arial" w:hAnsi="Arial" w:cs="Arial"/>
          <w:bCs/>
        </w:rPr>
      </w:pPr>
      <w:r w:rsidRPr="00797440">
        <w:rPr>
          <w:rFonts w:ascii="Arial" w:hAnsi="Arial" w:cs="Arial"/>
        </w:rPr>
        <w:t>P</w:t>
      </w:r>
      <w:r w:rsidR="00FE745B" w:rsidRPr="00797440">
        <w:rPr>
          <w:rFonts w:ascii="Arial" w:hAnsi="Arial" w:cs="Arial"/>
          <w:bCs/>
        </w:rPr>
        <w:t>rema</w:t>
      </w:r>
      <w:r w:rsidR="00FE745B" w:rsidRPr="00FE745B">
        <w:rPr>
          <w:rFonts w:ascii="Arial" w:hAnsi="Arial" w:cs="Arial"/>
          <w:bCs/>
        </w:rPr>
        <w:t xml:space="preserve"> funkcijskoj klasifikaciji </w:t>
      </w:r>
      <w:r w:rsidR="00FE745B">
        <w:rPr>
          <w:rFonts w:ascii="Arial" w:hAnsi="Arial" w:cs="Arial"/>
          <w:bCs/>
        </w:rPr>
        <w:t xml:space="preserve">ukupni rashodi Pučkog otvorenog učilišta </w:t>
      </w:r>
      <w:r w:rsidR="00E4578D">
        <w:rPr>
          <w:rFonts w:ascii="Arial" w:hAnsi="Arial" w:cs="Arial"/>
          <w:bCs/>
        </w:rPr>
        <w:t xml:space="preserve">za 2023. godinu </w:t>
      </w:r>
      <w:r w:rsidR="00FE745B">
        <w:rPr>
          <w:rFonts w:ascii="Arial" w:hAnsi="Arial" w:cs="Arial"/>
          <w:bCs/>
        </w:rPr>
        <w:t xml:space="preserve">u iznosu od </w:t>
      </w:r>
      <w:r w:rsidR="006838C7">
        <w:rPr>
          <w:rFonts w:ascii="Arial" w:hAnsi="Arial" w:cs="Arial"/>
          <w:bCs/>
        </w:rPr>
        <w:t>265.229,39 eura</w:t>
      </w:r>
      <w:r w:rsidR="00FE745B">
        <w:rPr>
          <w:rFonts w:ascii="Arial" w:hAnsi="Arial" w:cs="Arial"/>
          <w:bCs/>
        </w:rPr>
        <w:t xml:space="preserve"> raspoređen</w:t>
      </w:r>
      <w:r>
        <w:rPr>
          <w:rFonts w:ascii="Arial" w:hAnsi="Arial" w:cs="Arial"/>
          <w:bCs/>
        </w:rPr>
        <w:t>i</w:t>
      </w:r>
      <w:r w:rsidR="00FE74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="00FE74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</w:t>
      </w:r>
      <w:r w:rsidR="00FE745B">
        <w:rPr>
          <w:rFonts w:ascii="Arial" w:hAnsi="Arial" w:cs="Arial"/>
          <w:bCs/>
        </w:rPr>
        <w:t xml:space="preserve"> službe kulture</w:t>
      </w:r>
      <w:r w:rsidR="00BD1BE9">
        <w:rPr>
          <w:rFonts w:ascii="Arial" w:hAnsi="Arial" w:cs="Arial"/>
          <w:bCs/>
        </w:rPr>
        <w:t xml:space="preserve">. </w:t>
      </w:r>
      <w:r w:rsidR="001C5EA6">
        <w:rPr>
          <w:rFonts w:ascii="Arial" w:hAnsi="Arial" w:cs="Arial"/>
          <w:bCs/>
        </w:rPr>
        <w:t xml:space="preserve">Za </w:t>
      </w:r>
      <w:r w:rsidR="009713BA">
        <w:rPr>
          <w:rFonts w:ascii="Arial" w:hAnsi="Arial" w:cs="Arial"/>
          <w:bCs/>
        </w:rPr>
        <w:t xml:space="preserve">rashode poslovanja 209.091,89 eura, a za </w:t>
      </w:r>
      <w:r w:rsidR="003C4B2B">
        <w:rPr>
          <w:rFonts w:ascii="Arial" w:hAnsi="Arial" w:cs="Arial"/>
          <w:bCs/>
        </w:rPr>
        <w:t xml:space="preserve">rashode za nabavu nefinancijske imovine </w:t>
      </w:r>
      <w:r w:rsidR="00CC5D65">
        <w:rPr>
          <w:rFonts w:ascii="Arial" w:hAnsi="Arial" w:cs="Arial"/>
          <w:bCs/>
        </w:rPr>
        <w:t>56.137,50 eura.</w:t>
      </w:r>
    </w:p>
    <w:p w14:paraId="20A18516" w14:textId="77777777" w:rsidR="00797440" w:rsidRDefault="00797440" w:rsidP="00564821">
      <w:pPr>
        <w:jc w:val="both"/>
        <w:rPr>
          <w:rFonts w:ascii="Arial" w:hAnsi="Arial" w:cs="Arial"/>
        </w:rPr>
      </w:pPr>
    </w:p>
    <w:p w14:paraId="7C32DA01" w14:textId="77777777" w:rsidR="00F42B5E" w:rsidRDefault="00F42B5E" w:rsidP="00564821">
      <w:pPr>
        <w:jc w:val="both"/>
        <w:rPr>
          <w:rFonts w:ascii="Arial" w:hAnsi="Arial" w:cs="Arial"/>
        </w:rPr>
      </w:pPr>
    </w:p>
    <w:p w14:paraId="02DD404F" w14:textId="77777777" w:rsidR="00923453" w:rsidRDefault="00FE745B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Računovođa: Nataša Bogdanović</w:t>
      </w:r>
      <w:r w:rsidR="00BC2EBC" w:rsidRPr="00273AEB">
        <w:rPr>
          <w:rFonts w:ascii="Arial" w:hAnsi="Arial" w:cs="Arial"/>
        </w:rPr>
        <w:t xml:space="preserve">                             </w:t>
      </w:r>
    </w:p>
    <w:p w14:paraId="74F601FF" w14:textId="6DAC0C36" w:rsidR="00923453" w:rsidRDefault="00923453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01063986" w14:textId="78F8CCCC" w:rsidR="00AF0F13" w:rsidRPr="00273AEB" w:rsidRDefault="00923453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BC2EBC" w:rsidRPr="00273AEB">
        <w:rPr>
          <w:rFonts w:ascii="Arial" w:hAnsi="Arial" w:cs="Arial"/>
        </w:rPr>
        <w:t xml:space="preserve">        </w:t>
      </w:r>
      <w:r w:rsidR="00EB0E57" w:rsidRPr="00EB0E57">
        <w:rPr>
          <w:rFonts w:ascii="Arial" w:hAnsi="Arial" w:cs="Arial"/>
        </w:rPr>
        <w:t xml:space="preserve">RAVNATELJICA:  </w:t>
      </w:r>
      <w:r w:rsidR="00BC2EBC" w:rsidRPr="00273AEB">
        <w:rPr>
          <w:rFonts w:ascii="Arial" w:hAnsi="Arial" w:cs="Arial"/>
        </w:rPr>
        <w:t xml:space="preserve">                         </w:t>
      </w:r>
    </w:p>
    <w:p w14:paraId="66D98D7D" w14:textId="5A0AB65E" w:rsidR="00AF0F13" w:rsidRPr="00273AEB" w:rsidRDefault="00AF0F13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                                                                                          Željka Šunjić, prof.</w:t>
      </w:r>
      <w:r w:rsidR="004317DD" w:rsidRPr="00273AEB">
        <w:rPr>
          <w:rFonts w:ascii="Arial" w:hAnsi="Arial" w:cs="Arial"/>
        </w:rPr>
        <w:t xml:space="preserve">                                                                                       </w:t>
      </w:r>
    </w:p>
    <w:p w14:paraId="1F4B4412" w14:textId="77777777" w:rsidR="004317DD" w:rsidRPr="00273AEB" w:rsidRDefault="00AF0F13" w:rsidP="00564821">
      <w:pPr>
        <w:tabs>
          <w:tab w:val="left" w:pos="7657"/>
        </w:tabs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ab/>
      </w:r>
    </w:p>
    <w:sectPr w:rsidR="004317DD" w:rsidRPr="00273AEB" w:rsidSect="0083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36FB" w14:textId="77777777" w:rsidR="00833009" w:rsidRDefault="00833009" w:rsidP="00CA21CA">
      <w:r>
        <w:separator/>
      </w:r>
    </w:p>
  </w:endnote>
  <w:endnote w:type="continuationSeparator" w:id="0">
    <w:p w14:paraId="07D9B1E3" w14:textId="77777777" w:rsidR="00833009" w:rsidRDefault="00833009" w:rsidP="00C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-Bold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9530" w14:textId="77777777" w:rsidR="00833009" w:rsidRDefault="00833009" w:rsidP="00CA21CA">
      <w:r>
        <w:separator/>
      </w:r>
    </w:p>
  </w:footnote>
  <w:footnote w:type="continuationSeparator" w:id="0">
    <w:p w14:paraId="2F3240AC" w14:textId="77777777" w:rsidR="00833009" w:rsidRDefault="00833009" w:rsidP="00C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4"/>
    <w:rsid w:val="00001582"/>
    <w:rsid w:val="0000185B"/>
    <w:rsid w:val="00003067"/>
    <w:rsid w:val="00006858"/>
    <w:rsid w:val="00006DD1"/>
    <w:rsid w:val="000121EA"/>
    <w:rsid w:val="00012FCC"/>
    <w:rsid w:val="00013748"/>
    <w:rsid w:val="00016AFE"/>
    <w:rsid w:val="00020955"/>
    <w:rsid w:val="00024D65"/>
    <w:rsid w:val="000266B1"/>
    <w:rsid w:val="00026A2E"/>
    <w:rsid w:val="00026B89"/>
    <w:rsid w:val="00030B0C"/>
    <w:rsid w:val="000338C1"/>
    <w:rsid w:val="00034BD3"/>
    <w:rsid w:val="000451B6"/>
    <w:rsid w:val="00045D08"/>
    <w:rsid w:val="00045E40"/>
    <w:rsid w:val="00047168"/>
    <w:rsid w:val="000509C9"/>
    <w:rsid w:val="00053E83"/>
    <w:rsid w:val="0005678A"/>
    <w:rsid w:val="000634F5"/>
    <w:rsid w:val="00063D00"/>
    <w:rsid w:val="00065B43"/>
    <w:rsid w:val="00072B38"/>
    <w:rsid w:val="00072BD7"/>
    <w:rsid w:val="0007336E"/>
    <w:rsid w:val="00074217"/>
    <w:rsid w:val="000776EF"/>
    <w:rsid w:val="000820CF"/>
    <w:rsid w:val="00083200"/>
    <w:rsid w:val="00083799"/>
    <w:rsid w:val="00083953"/>
    <w:rsid w:val="00085CD8"/>
    <w:rsid w:val="00086D01"/>
    <w:rsid w:val="0009178D"/>
    <w:rsid w:val="00092058"/>
    <w:rsid w:val="000926B1"/>
    <w:rsid w:val="0009391D"/>
    <w:rsid w:val="0009782F"/>
    <w:rsid w:val="000A043E"/>
    <w:rsid w:val="000A0485"/>
    <w:rsid w:val="000A1EC6"/>
    <w:rsid w:val="000A4ED1"/>
    <w:rsid w:val="000A5A54"/>
    <w:rsid w:val="000A5A5E"/>
    <w:rsid w:val="000A7E1A"/>
    <w:rsid w:val="000B0065"/>
    <w:rsid w:val="000B6A07"/>
    <w:rsid w:val="000C3BEF"/>
    <w:rsid w:val="000C5EA5"/>
    <w:rsid w:val="000D0023"/>
    <w:rsid w:val="000D128C"/>
    <w:rsid w:val="000D1DA9"/>
    <w:rsid w:val="000D3738"/>
    <w:rsid w:val="000D44C0"/>
    <w:rsid w:val="000D76AC"/>
    <w:rsid w:val="000D7B17"/>
    <w:rsid w:val="000E07A5"/>
    <w:rsid w:val="000E1AD7"/>
    <w:rsid w:val="000F05BF"/>
    <w:rsid w:val="000F05E6"/>
    <w:rsid w:val="000F348A"/>
    <w:rsid w:val="000F441A"/>
    <w:rsid w:val="000F48D7"/>
    <w:rsid w:val="000F53DD"/>
    <w:rsid w:val="000F7DDA"/>
    <w:rsid w:val="001012CF"/>
    <w:rsid w:val="00101490"/>
    <w:rsid w:val="00101D97"/>
    <w:rsid w:val="00103AC1"/>
    <w:rsid w:val="00112AF6"/>
    <w:rsid w:val="001136DB"/>
    <w:rsid w:val="00115658"/>
    <w:rsid w:val="00115CA8"/>
    <w:rsid w:val="00116655"/>
    <w:rsid w:val="00120AC6"/>
    <w:rsid w:val="001224EB"/>
    <w:rsid w:val="001229FA"/>
    <w:rsid w:val="00130F05"/>
    <w:rsid w:val="00134340"/>
    <w:rsid w:val="00135A93"/>
    <w:rsid w:val="00136711"/>
    <w:rsid w:val="00137405"/>
    <w:rsid w:val="001421EF"/>
    <w:rsid w:val="00143830"/>
    <w:rsid w:val="00143D6F"/>
    <w:rsid w:val="00143EBB"/>
    <w:rsid w:val="00146106"/>
    <w:rsid w:val="00147FFA"/>
    <w:rsid w:val="0015652B"/>
    <w:rsid w:val="00156928"/>
    <w:rsid w:val="00157506"/>
    <w:rsid w:val="00162BD0"/>
    <w:rsid w:val="001643B1"/>
    <w:rsid w:val="00165CC8"/>
    <w:rsid w:val="001727D4"/>
    <w:rsid w:val="001743C8"/>
    <w:rsid w:val="0018093E"/>
    <w:rsid w:val="00183908"/>
    <w:rsid w:val="00186EF7"/>
    <w:rsid w:val="00192684"/>
    <w:rsid w:val="0019270E"/>
    <w:rsid w:val="00194453"/>
    <w:rsid w:val="001A0A41"/>
    <w:rsid w:val="001A2056"/>
    <w:rsid w:val="001A22C3"/>
    <w:rsid w:val="001A418B"/>
    <w:rsid w:val="001A6A0A"/>
    <w:rsid w:val="001A6DD5"/>
    <w:rsid w:val="001A731D"/>
    <w:rsid w:val="001A7366"/>
    <w:rsid w:val="001B26AF"/>
    <w:rsid w:val="001B449B"/>
    <w:rsid w:val="001B5233"/>
    <w:rsid w:val="001B696B"/>
    <w:rsid w:val="001B746D"/>
    <w:rsid w:val="001B74E9"/>
    <w:rsid w:val="001B7A20"/>
    <w:rsid w:val="001C3F67"/>
    <w:rsid w:val="001C4119"/>
    <w:rsid w:val="001C5EA6"/>
    <w:rsid w:val="001D7EF9"/>
    <w:rsid w:val="001E08C1"/>
    <w:rsid w:val="001E1280"/>
    <w:rsid w:val="001E2020"/>
    <w:rsid w:val="001E28B2"/>
    <w:rsid w:val="001E6E39"/>
    <w:rsid w:val="001E70B5"/>
    <w:rsid w:val="001F03BC"/>
    <w:rsid w:val="001F0829"/>
    <w:rsid w:val="001F22C0"/>
    <w:rsid w:val="001F421F"/>
    <w:rsid w:val="001F4CFB"/>
    <w:rsid w:val="001F5107"/>
    <w:rsid w:val="00202DBD"/>
    <w:rsid w:val="00204619"/>
    <w:rsid w:val="00204B4D"/>
    <w:rsid w:val="00205FA2"/>
    <w:rsid w:val="00210858"/>
    <w:rsid w:val="00213D97"/>
    <w:rsid w:val="002214D4"/>
    <w:rsid w:val="00224794"/>
    <w:rsid w:val="00224C11"/>
    <w:rsid w:val="002263EF"/>
    <w:rsid w:val="00227105"/>
    <w:rsid w:val="00227E5E"/>
    <w:rsid w:val="00232DBE"/>
    <w:rsid w:val="00236336"/>
    <w:rsid w:val="00236F7E"/>
    <w:rsid w:val="00243BCF"/>
    <w:rsid w:val="00251E0B"/>
    <w:rsid w:val="00260470"/>
    <w:rsid w:val="0026140C"/>
    <w:rsid w:val="00262EED"/>
    <w:rsid w:val="0026325F"/>
    <w:rsid w:val="00270DCC"/>
    <w:rsid w:val="002717CB"/>
    <w:rsid w:val="00273AEB"/>
    <w:rsid w:val="00274724"/>
    <w:rsid w:val="0027474B"/>
    <w:rsid w:val="00275AAF"/>
    <w:rsid w:val="0027750F"/>
    <w:rsid w:val="00280DF7"/>
    <w:rsid w:val="002811A3"/>
    <w:rsid w:val="00281614"/>
    <w:rsid w:val="00281842"/>
    <w:rsid w:val="00284857"/>
    <w:rsid w:val="002A1F38"/>
    <w:rsid w:val="002A6F9D"/>
    <w:rsid w:val="002A70F4"/>
    <w:rsid w:val="002B3BCD"/>
    <w:rsid w:val="002B4EC7"/>
    <w:rsid w:val="002C1301"/>
    <w:rsid w:val="002C15E7"/>
    <w:rsid w:val="002D240E"/>
    <w:rsid w:val="002E17B4"/>
    <w:rsid w:val="002E1B67"/>
    <w:rsid w:val="002E4057"/>
    <w:rsid w:val="002E73D5"/>
    <w:rsid w:val="002F15DF"/>
    <w:rsid w:val="002F2657"/>
    <w:rsid w:val="002F72B4"/>
    <w:rsid w:val="003053E2"/>
    <w:rsid w:val="00307468"/>
    <w:rsid w:val="00307F31"/>
    <w:rsid w:val="00310A73"/>
    <w:rsid w:val="003125E0"/>
    <w:rsid w:val="00315300"/>
    <w:rsid w:val="003160C0"/>
    <w:rsid w:val="003169EF"/>
    <w:rsid w:val="003247C7"/>
    <w:rsid w:val="003256F6"/>
    <w:rsid w:val="00325812"/>
    <w:rsid w:val="00327727"/>
    <w:rsid w:val="00327B90"/>
    <w:rsid w:val="003309BB"/>
    <w:rsid w:val="003311F0"/>
    <w:rsid w:val="003320C5"/>
    <w:rsid w:val="0033452A"/>
    <w:rsid w:val="00334717"/>
    <w:rsid w:val="00334F96"/>
    <w:rsid w:val="003361E8"/>
    <w:rsid w:val="00336C52"/>
    <w:rsid w:val="003376A1"/>
    <w:rsid w:val="00343512"/>
    <w:rsid w:val="00352923"/>
    <w:rsid w:val="003540D8"/>
    <w:rsid w:val="0035490F"/>
    <w:rsid w:val="00354B07"/>
    <w:rsid w:val="0036023D"/>
    <w:rsid w:val="003647E6"/>
    <w:rsid w:val="0036587D"/>
    <w:rsid w:val="00366498"/>
    <w:rsid w:val="00366E6E"/>
    <w:rsid w:val="003708E5"/>
    <w:rsid w:val="00372CD7"/>
    <w:rsid w:val="0037348A"/>
    <w:rsid w:val="00382040"/>
    <w:rsid w:val="0038580D"/>
    <w:rsid w:val="00387F72"/>
    <w:rsid w:val="0039046A"/>
    <w:rsid w:val="0039263F"/>
    <w:rsid w:val="00392B28"/>
    <w:rsid w:val="003936F9"/>
    <w:rsid w:val="00397B03"/>
    <w:rsid w:val="003A2185"/>
    <w:rsid w:val="003A3ABE"/>
    <w:rsid w:val="003A5193"/>
    <w:rsid w:val="003A76AB"/>
    <w:rsid w:val="003B03DF"/>
    <w:rsid w:val="003B4587"/>
    <w:rsid w:val="003B4C3A"/>
    <w:rsid w:val="003B56A4"/>
    <w:rsid w:val="003B7737"/>
    <w:rsid w:val="003C059F"/>
    <w:rsid w:val="003C0F7F"/>
    <w:rsid w:val="003C3950"/>
    <w:rsid w:val="003C41CA"/>
    <w:rsid w:val="003C4B2B"/>
    <w:rsid w:val="003C4F1B"/>
    <w:rsid w:val="003E07A4"/>
    <w:rsid w:val="003E2F8A"/>
    <w:rsid w:val="003F0821"/>
    <w:rsid w:val="003F085B"/>
    <w:rsid w:val="003F0B9F"/>
    <w:rsid w:val="003F0E61"/>
    <w:rsid w:val="003F2CD3"/>
    <w:rsid w:val="003F3E90"/>
    <w:rsid w:val="003F6D59"/>
    <w:rsid w:val="003F71FB"/>
    <w:rsid w:val="004016DC"/>
    <w:rsid w:val="0040226A"/>
    <w:rsid w:val="004039F1"/>
    <w:rsid w:val="0040637F"/>
    <w:rsid w:val="00406E98"/>
    <w:rsid w:val="00412489"/>
    <w:rsid w:val="0041498F"/>
    <w:rsid w:val="00416D24"/>
    <w:rsid w:val="00420290"/>
    <w:rsid w:val="00421543"/>
    <w:rsid w:val="00425441"/>
    <w:rsid w:val="004261D6"/>
    <w:rsid w:val="004262C8"/>
    <w:rsid w:val="00426C57"/>
    <w:rsid w:val="00427D45"/>
    <w:rsid w:val="00427D80"/>
    <w:rsid w:val="0043142E"/>
    <w:rsid w:val="004317DD"/>
    <w:rsid w:val="00431F2F"/>
    <w:rsid w:val="00432A97"/>
    <w:rsid w:val="00434375"/>
    <w:rsid w:val="00437481"/>
    <w:rsid w:val="00437F7A"/>
    <w:rsid w:val="00444D23"/>
    <w:rsid w:val="00444D88"/>
    <w:rsid w:val="00450B64"/>
    <w:rsid w:val="00452466"/>
    <w:rsid w:val="00452919"/>
    <w:rsid w:val="0045711E"/>
    <w:rsid w:val="004579B7"/>
    <w:rsid w:val="00462F14"/>
    <w:rsid w:val="004638E3"/>
    <w:rsid w:val="0046558B"/>
    <w:rsid w:val="00470346"/>
    <w:rsid w:val="00475FCD"/>
    <w:rsid w:val="00483ABF"/>
    <w:rsid w:val="00483F54"/>
    <w:rsid w:val="00486BD2"/>
    <w:rsid w:val="00491E85"/>
    <w:rsid w:val="0049249B"/>
    <w:rsid w:val="004A1113"/>
    <w:rsid w:val="004A1C76"/>
    <w:rsid w:val="004A23B2"/>
    <w:rsid w:val="004A62AE"/>
    <w:rsid w:val="004A7870"/>
    <w:rsid w:val="004B0E23"/>
    <w:rsid w:val="004B3712"/>
    <w:rsid w:val="004B51B3"/>
    <w:rsid w:val="004B5CA9"/>
    <w:rsid w:val="004C26A0"/>
    <w:rsid w:val="004C29D2"/>
    <w:rsid w:val="004C3B9A"/>
    <w:rsid w:val="004C4E7D"/>
    <w:rsid w:val="004D0E72"/>
    <w:rsid w:val="004D2867"/>
    <w:rsid w:val="004D44F9"/>
    <w:rsid w:val="004D5A7C"/>
    <w:rsid w:val="004D7E44"/>
    <w:rsid w:val="004E0641"/>
    <w:rsid w:val="004E27F8"/>
    <w:rsid w:val="004E5D01"/>
    <w:rsid w:val="004F1ACD"/>
    <w:rsid w:val="004F1F57"/>
    <w:rsid w:val="004F2147"/>
    <w:rsid w:val="004F717C"/>
    <w:rsid w:val="00500BDE"/>
    <w:rsid w:val="00500DB8"/>
    <w:rsid w:val="00502B9E"/>
    <w:rsid w:val="00506B02"/>
    <w:rsid w:val="00507DD9"/>
    <w:rsid w:val="00512C3A"/>
    <w:rsid w:val="005230B9"/>
    <w:rsid w:val="00525008"/>
    <w:rsid w:val="00526044"/>
    <w:rsid w:val="00527176"/>
    <w:rsid w:val="005273C7"/>
    <w:rsid w:val="005277E8"/>
    <w:rsid w:val="005313F0"/>
    <w:rsid w:val="00532310"/>
    <w:rsid w:val="0053248A"/>
    <w:rsid w:val="00533683"/>
    <w:rsid w:val="00535AC8"/>
    <w:rsid w:val="0054525B"/>
    <w:rsid w:val="00551905"/>
    <w:rsid w:val="0055293E"/>
    <w:rsid w:val="00555D45"/>
    <w:rsid w:val="00556937"/>
    <w:rsid w:val="00560A5A"/>
    <w:rsid w:val="00560CD6"/>
    <w:rsid w:val="00564821"/>
    <w:rsid w:val="00567109"/>
    <w:rsid w:val="00567416"/>
    <w:rsid w:val="00570B5F"/>
    <w:rsid w:val="005714C1"/>
    <w:rsid w:val="0057228A"/>
    <w:rsid w:val="00572F30"/>
    <w:rsid w:val="00574A06"/>
    <w:rsid w:val="00574C8B"/>
    <w:rsid w:val="00582CC0"/>
    <w:rsid w:val="0058682D"/>
    <w:rsid w:val="0058705F"/>
    <w:rsid w:val="00587C4B"/>
    <w:rsid w:val="00590331"/>
    <w:rsid w:val="005968EC"/>
    <w:rsid w:val="005A05C6"/>
    <w:rsid w:val="005A2752"/>
    <w:rsid w:val="005A2D3B"/>
    <w:rsid w:val="005A4C9F"/>
    <w:rsid w:val="005B29AF"/>
    <w:rsid w:val="005B2DA6"/>
    <w:rsid w:val="005B7692"/>
    <w:rsid w:val="005C0155"/>
    <w:rsid w:val="005C2BDE"/>
    <w:rsid w:val="005C4E8B"/>
    <w:rsid w:val="005C7ADA"/>
    <w:rsid w:val="005D2705"/>
    <w:rsid w:val="005D308E"/>
    <w:rsid w:val="005D36E4"/>
    <w:rsid w:val="005D4CF7"/>
    <w:rsid w:val="005D585B"/>
    <w:rsid w:val="005E267E"/>
    <w:rsid w:val="005E4175"/>
    <w:rsid w:val="005E4320"/>
    <w:rsid w:val="005E5FA6"/>
    <w:rsid w:val="005E64A8"/>
    <w:rsid w:val="005E7167"/>
    <w:rsid w:val="005F00E8"/>
    <w:rsid w:val="005F11D1"/>
    <w:rsid w:val="005F2C2F"/>
    <w:rsid w:val="005F3E4E"/>
    <w:rsid w:val="00601136"/>
    <w:rsid w:val="00604029"/>
    <w:rsid w:val="006040DE"/>
    <w:rsid w:val="00606BE9"/>
    <w:rsid w:val="00612BE5"/>
    <w:rsid w:val="00613EFA"/>
    <w:rsid w:val="006142E5"/>
    <w:rsid w:val="00614AFE"/>
    <w:rsid w:val="00614F07"/>
    <w:rsid w:val="00625D59"/>
    <w:rsid w:val="00627E27"/>
    <w:rsid w:val="0063080D"/>
    <w:rsid w:val="00633DF5"/>
    <w:rsid w:val="00641020"/>
    <w:rsid w:val="006456EA"/>
    <w:rsid w:val="0064646A"/>
    <w:rsid w:val="0064647B"/>
    <w:rsid w:val="006465B6"/>
    <w:rsid w:val="00647DE6"/>
    <w:rsid w:val="006503BA"/>
    <w:rsid w:val="00651B9A"/>
    <w:rsid w:val="00652887"/>
    <w:rsid w:val="0065359E"/>
    <w:rsid w:val="0065363D"/>
    <w:rsid w:val="00653A3C"/>
    <w:rsid w:val="00656D8E"/>
    <w:rsid w:val="00663104"/>
    <w:rsid w:val="006640D6"/>
    <w:rsid w:val="00673121"/>
    <w:rsid w:val="00675014"/>
    <w:rsid w:val="00675B41"/>
    <w:rsid w:val="006826C5"/>
    <w:rsid w:val="006838C7"/>
    <w:rsid w:val="00684DC2"/>
    <w:rsid w:val="006A238E"/>
    <w:rsid w:val="006A4A25"/>
    <w:rsid w:val="006A71E5"/>
    <w:rsid w:val="006B2125"/>
    <w:rsid w:val="006B3E9C"/>
    <w:rsid w:val="006B469F"/>
    <w:rsid w:val="006B584B"/>
    <w:rsid w:val="006B59CA"/>
    <w:rsid w:val="006B5C4A"/>
    <w:rsid w:val="006B6E37"/>
    <w:rsid w:val="006B78F5"/>
    <w:rsid w:val="006C0EDF"/>
    <w:rsid w:val="006C0F4E"/>
    <w:rsid w:val="006C2846"/>
    <w:rsid w:val="006C47C1"/>
    <w:rsid w:val="006C5068"/>
    <w:rsid w:val="006D3571"/>
    <w:rsid w:val="006D60E1"/>
    <w:rsid w:val="006D78FC"/>
    <w:rsid w:val="006E2175"/>
    <w:rsid w:val="006E3297"/>
    <w:rsid w:val="006E6AEA"/>
    <w:rsid w:val="006F10DD"/>
    <w:rsid w:val="006F1892"/>
    <w:rsid w:val="006F289A"/>
    <w:rsid w:val="006F2C7C"/>
    <w:rsid w:val="006F7F8C"/>
    <w:rsid w:val="00700475"/>
    <w:rsid w:val="00700B44"/>
    <w:rsid w:val="00701EFD"/>
    <w:rsid w:val="0070707D"/>
    <w:rsid w:val="0071062C"/>
    <w:rsid w:val="00710E4D"/>
    <w:rsid w:val="0071474A"/>
    <w:rsid w:val="00714BE4"/>
    <w:rsid w:val="00714EE1"/>
    <w:rsid w:val="007163FB"/>
    <w:rsid w:val="00716CB1"/>
    <w:rsid w:val="00717635"/>
    <w:rsid w:val="00723784"/>
    <w:rsid w:val="00725429"/>
    <w:rsid w:val="007309AE"/>
    <w:rsid w:val="00731974"/>
    <w:rsid w:val="0073300E"/>
    <w:rsid w:val="00733FE8"/>
    <w:rsid w:val="0073497D"/>
    <w:rsid w:val="00737282"/>
    <w:rsid w:val="007404CD"/>
    <w:rsid w:val="00740742"/>
    <w:rsid w:val="00740B43"/>
    <w:rsid w:val="00746475"/>
    <w:rsid w:val="00755341"/>
    <w:rsid w:val="00756B76"/>
    <w:rsid w:val="00760FEE"/>
    <w:rsid w:val="00763C66"/>
    <w:rsid w:val="007647A6"/>
    <w:rsid w:val="00765974"/>
    <w:rsid w:val="007672CE"/>
    <w:rsid w:val="00770D16"/>
    <w:rsid w:val="00771BFC"/>
    <w:rsid w:val="00773D48"/>
    <w:rsid w:val="00774D5A"/>
    <w:rsid w:val="00775DD8"/>
    <w:rsid w:val="00777D5F"/>
    <w:rsid w:val="00780BC9"/>
    <w:rsid w:val="00781A13"/>
    <w:rsid w:val="00785E96"/>
    <w:rsid w:val="00787217"/>
    <w:rsid w:val="00791C99"/>
    <w:rsid w:val="00792839"/>
    <w:rsid w:val="0079579C"/>
    <w:rsid w:val="00797440"/>
    <w:rsid w:val="007A07FB"/>
    <w:rsid w:val="007A49A8"/>
    <w:rsid w:val="007A780C"/>
    <w:rsid w:val="007B1022"/>
    <w:rsid w:val="007B39EC"/>
    <w:rsid w:val="007B608E"/>
    <w:rsid w:val="007B6BB2"/>
    <w:rsid w:val="007C2E21"/>
    <w:rsid w:val="007C4079"/>
    <w:rsid w:val="007C6F8B"/>
    <w:rsid w:val="007D1380"/>
    <w:rsid w:val="007D1907"/>
    <w:rsid w:val="007D1DD4"/>
    <w:rsid w:val="007D4B2F"/>
    <w:rsid w:val="007D59B2"/>
    <w:rsid w:val="007D5BA4"/>
    <w:rsid w:val="007E1DF8"/>
    <w:rsid w:val="007E26EC"/>
    <w:rsid w:val="007E360E"/>
    <w:rsid w:val="007E73AB"/>
    <w:rsid w:val="007F3404"/>
    <w:rsid w:val="00800593"/>
    <w:rsid w:val="00803300"/>
    <w:rsid w:val="00804B79"/>
    <w:rsid w:val="00814043"/>
    <w:rsid w:val="008274F5"/>
    <w:rsid w:val="00830C00"/>
    <w:rsid w:val="00833009"/>
    <w:rsid w:val="00835C9C"/>
    <w:rsid w:val="00840D3B"/>
    <w:rsid w:val="00841DC0"/>
    <w:rsid w:val="00842247"/>
    <w:rsid w:val="00845396"/>
    <w:rsid w:val="00853E69"/>
    <w:rsid w:val="0086290F"/>
    <w:rsid w:val="00862D96"/>
    <w:rsid w:val="00864C25"/>
    <w:rsid w:val="00865532"/>
    <w:rsid w:val="00866007"/>
    <w:rsid w:val="00866B05"/>
    <w:rsid w:val="00871F3A"/>
    <w:rsid w:val="0087453A"/>
    <w:rsid w:val="00876825"/>
    <w:rsid w:val="00877542"/>
    <w:rsid w:val="008776D6"/>
    <w:rsid w:val="00877EEA"/>
    <w:rsid w:val="0088123F"/>
    <w:rsid w:val="00881CD4"/>
    <w:rsid w:val="00882B82"/>
    <w:rsid w:val="008877A3"/>
    <w:rsid w:val="008916FE"/>
    <w:rsid w:val="00891E99"/>
    <w:rsid w:val="00893028"/>
    <w:rsid w:val="00893EDB"/>
    <w:rsid w:val="00895422"/>
    <w:rsid w:val="008958BC"/>
    <w:rsid w:val="00896600"/>
    <w:rsid w:val="00897D61"/>
    <w:rsid w:val="008A59F1"/>
    <w:rsid w:val="008A7FC7"/>
    <w:rsid w:val="008B129D"/>
    <w:rsid w:val="008B2B01"/>
    <w:rsid w:val="008B4B6E"/>
    <w:rsid w:val="008C000C"/>
    <w:rsid w:val="008C390C"/>
    <w:rsid w:val="008C7890"/>
    <w:rsid w:val="008D01AF"/>
    <w:rsid w:val="008D12F7"/>
    <w:rsid w:val="008D28F8"/>
    <w:rsid w:val="008D4C7E"/>
    <w:rsid w:val="008D588A"/>
    <w:rsid w:val="008D60BD"/>
    <w:rsid w:val="008D7435"/>
    <w:rsid w:val="008D764D"/>
    <w:rsid w:val="008D7765"/>
    <w:rsid w:val="008D7D07"/>
    <w:rsid w:val="008E27B0"/>
    <w:rsid w:val="008F1BB6"/>
    <w:rsid w:val="008F390F"/>
    <w:rsid w:val="008F4A2D"/>
    <w:rsid w:val="008F6EDD"/>
    <w:rsid w:val="00900ABF"/>
    <w:rsid w:val="009039F7"/>
    <w:rsid w:val="00906D37"/>
    <w:rsid w:val="00907C5B"/>
    <w:rsid w:val="00910122"/>
    <w:rsid w:val="00910964"/>
    <w:rsid w:val="00910B9F"/>
    <w:rsid w:val="00911352"/>
    <w:rsid w:val="00920CCE"/>
    <w:rsid w:val="00923453"/>
    <w:rsid w:val="0092467A"/>
    <w:rsid w:val="00925548"/>
    <w:rsid w:val="00925924"/>
    <w:rsid w:val="00926537"/>
    <w:rsid w:val="00933FA2"/>
    <w:rsid w:val="0093544A"/>
    <w:rsid w:val="009424EA"/>
    <w:rsid w:val="0094308D"/>
    <w:rsid w:val="00944541"/>
    <w:rsid w:val="00947C97"/>
    <w:rsid w:val="0095763B"/>
    <w:rsid w:val="0096029D"/>
    <w:rsid w:val="00960C4C"/>
    <w:rsid w:val="00964853"/>
    <w:rsid w:val="00965506"/>
    <w:rsid w:val="00965D9F"/>
    <w:rsid w:val="00965E6B"/>
    <w:rsid w:val="009713BA"/>
    <w:rsid w:val="00971EA4"/>
    <w:rsid w:val="00972355"/>
    <w:rsid w:val="009758D3"/>
    <w:rsid w:val="009759BF"/>
    <w:rsid w:val="0097692E"/>
    <w:rsid w:val="0097698F"/>
    <w:rsid w:val="009772C4"/>
    <w:rsid w:val="0097747F"/>
    <w:rsid w:val="00980526"/>
    <w:rsid w:val="00980FE5"/>
    <w:rsid w:val="00991CF0"/>
    <w:rsid w:val="00995C76"/>
    <w:rsid w:val="00996198"/>
    <w:rsid w:val="00997907"/>
    <w:rsid w:val="009A3837"/>
    <w:rsid w:val="009A3EE5"/>
    <w:rsid w:val="009A5966"/>
    <w:rsid w:val="009A67DC"/>
    <w:rsid w:val="009A72D8"/>
    <w:rsid w:val="009B1ECF"/>
    <w:rsid w:val="009B5C6C"/>
    <w:rsid w:val="009B60A4"/>
    <w:rsid w:val="009B6943"/>
    <w:rsid w:val="009B6CBE"/>
    <w:rsid w:val="009C0315"/>
    <w:rsid w:val="009C057A"/>
    <w:rsid w:val="009C2932"/>
    <w:rsid w:val="009C6F56"/>
    <w:rsid w:val="009D299F"/>
    <w:rsid w:val="009D2D5D"/>
    <w:rsid w:val="009D3A94"/>
    <w:rsid w:val="009D6050"/>
    <w:rsid w:val="009E078B"/>
    <w:rsid w:val="009E1743"/>
    <w:rsid w:val="009E1933"/>
    <w:rsid w:val="009E23E8"/>
    <w:rsid w:val="009E3D1B"/>
    <w:rsid w:val="009E5D45"/>
    <w:rsid w:val="009E6AC2"/>
    <w:rsid w:val="009F4D43"/>
    <w:rsid w:val="009F4FCD"/>
    <w:rsid w:val="009F576D"/>
    <w:rsid w:val="009F7506"/>
    <w:rsid w:val="00A0380D"/>
    <w:rsid w:val="00A12178"/>
    <w:rsid w:val="00A13102"/>
    <w:rsid w:val="00A1635A"/>
    <w:rsid w:val="00A20B05"/>
    <w:rsid w:val="00A20D13"/>
    <w:rsid w:val="00A240AE"/>
    <w:rsid w:val="00A2431F"/>
    <w:rsid w:val="00A25DE4"/>
    <w:rsid w:val="00A25EB1"/>
    <w:rsid w:val="00A25FA3"/>
    <w:rsid w:val="00A26025"/>
    <w:rsid w:val="00A265FC"/>
    <w:rsid w:val="00A27C84"/>
    <w:rsid w:val="00A27EAF"/>
    <w:rsid w:val="00A32521"/>
    <w:rsid w:val="00A37E21"/>
    <w:rsid w:val="00A50536"/>
    <w:rsid w:val="00A51AA0"/>
    <w:rsid w:val="00A51C93"/>
    <w:rsid w:val="00A52554"/>
    <w:rsid w:val="00A57870"/>
    <w:rsid w:val="00A578D1"/>
    <w:rsid w:val="00A57D89"/>
    <w:rsid w:val="00A72227"/>
    <w:rsid w:val="00A723F2"/>
    <w:rsid w:val="00A77D2F"/>
    <w:rsid w:val="00A814B0"/>
    <w:rsid w:val="00A81D29"/>
    <w:rsid w:val="00A8747C"/>
    <w:rsid w:val="00A97086"/>
    <w:rsid w:val="00AA0936"/>
    <w:rsid w:val="00AA3951"/>
    <w:rsid w:val="00AA44F6"/>
    <w:rsid w:val="00AB03B1"/>
    <w:rsid w:val="00AB7772"/>
    <w:rsid w:val="00AC0054"/>
    <w:rsid w:val="00AC02AF"/>
    <w:rsid w:val="00AC0B18"/>
    <w:rsid w:val="00AC1820"/>
    <w:rsid w:val="00AC2AA5"/>
    <w:rsid w:val="00AC4197"/>
    <w:rsid w:val="00AC5528"/>
    <w:rsid w:val="00AC7CAE"/>
    <w:rsid w:val="00AD67CB"/>
    <w:rsid w:val="00AD772C"/>
    <w:rsid w:val="00AE17D4"/>
    <w:rsid w:val="00AE24D2"/>
    <w:rsid w:val="00AE6403"/>
    <w:rsid w:val="00AF0F13"/>
    <w:rsid w:val="00AF45F1"/>
    <w:rsid w:val="00AF4A30"/>
    <w:rsid w:val="00B01DD2"/>
    <w:rsid w:val="00B0302F"/>
    <w:rsid w:val="00B04067"/>
    <w:rsid w:val="00B063E0"/>
    <w:rsid w:val="00B10929"/>
    <w:rsid w:val="00B10A92"/>
    <w:rsid w:val="00B1637E"/>
    <w:rsid w:val="00B17381"/>
    <w:rsid w:val="00B24657"/>
    <w:rsid w:val="00B25E2C"/>
    <w:rsid w:val="00B25EEE"/>
    <w:rsid w:val="00B301EA"/>
    <w:rsid w:val="00B327B4"/>
    <w:rsid w:val="00B35AFA"/>
    <w:rsid w:val="00B3781B"/>
    <w:rsid w:val="00B410CF"/>
    <w:rsid w:val="00B4446E"/>
    <w:rsid w:val="00B45A96"/>
    <w:rsid w:val="00B511E8"/>
    <w:rsid w:val="00B576DC"/>
    <w:rsid w:val="00B63C97"/>
    <w:rsid w:val="00B63F69"/>
    <w:rsid w:val="00B67923"/>
    <w:rsid w:val="00B67A7D"/>
    <w:rsid w:val="00B707C3"/>
    <w:rsid w:val="00B723B0"/>
    <w:rsid w:val="00B8363D"/>
    <w:rsid w:val="00B846AF"/>
    <w:rsid w:val="00B85672"/>
    <w:rsid w:val="00B85901"/>
    <w:rsid w:val="00B86C1D"/>
    <w:rsid w:val="00B87AC8"/>
    <w:rsid w:val="00B95A90"/>
    <w:rsid w:val="00B979C2"/>
    <w:rsid w:val="00BA2756"/>
    <w:rsid w:val="00BA2F6F"/>
    <w:rsid w:val="00BA37CB"/>
    <w:rsid w:val="00BA3B56"/>
    <w:rsid w:val="00BA3E06"/>
    <w:rsid w:val="00BA55A5"/>
    <w:rsid w:val="00BA6809"/>
    <w:rsid w:val="00BA727F"/>
    <w:rsid w:val="00BB0430"/>
    <w:rsid w:val="00BB0738"/>
    <w:rsid w:val="00BB2661"/>
    <w:rsid w:val="00BB2695"/>
    <w:rsid w:val="00BB4CA7"/>
    <w:rsid w:val="00BB4F08"/>
    <w:rsid w:val="00BC0E8B"/>
    <w:rsid w:val="00BC1A4B"/>
    <w:rsid w:val="00BC246D"/>
    <w:rsid w:val="00BC2EBC"/>
    <w:rsid w:val="00BC431B"/>
    <w:rsid w:val="00BC7D42"/>
    <w:rsid w:val="00BD1BE9"/>
    <w:rsid w:val="00BD4DAC"/>
    <w:rsid w:val="00BD7048"/>
    <w:rsid w:val="00BE1033"/>
    <w:rsid w:val="00BE1F7A"/>
    <w:rsid w:val="00BE58BD"/>
    <w:rsid w:val="00BE6AB7"/>
    <w:rsid w:val="00BF07A9"/>
    <w:rsid w:val="00BF2AB6"/>
    <w:rsid w:val="00BF4AA1"/>
    <w:rsid w:val="00BF7A3D"/>
    <w:rsid w:val="00BF7DB0"/>
    <w:rsid w:val="00C00516"/>
    <w:rsid w:val="00C0100C"/>
    <w:rsid w:val="00C03410"/>
    <w:rsid w:val="00C14AD5"/>
    <w:rsid w:val="00C1606D"/>
    <w:rsid w:val="00C20422"/>
    <w:rsid w:val="00C20625"/>
    <w:rsid w:val="00C25387"/>
    <w:rsid w:val="00C2615D"/>
    <w:rsid w:val="00C26167"/>
    <w:rsid w:val="00C277D6"/>
    <w:rsid w:val="00C30417"/>
    <w:rsid w:val="00C324AE"/>
    <w:rsid w:val="00C33EF6"/>
    <w:rsid w:val="00C34836"/>
    <w:rsid w:val="00C36DC5"/>
    <w:rsid w:val="00C37CAF"/>
    <w:rsid w:val="00C43E1B"/>
    <w:rsid w:val="00C466F5"/>
    <w:rsid w:val="00C532D0"/>
    <w:rsid w:val="00C54CD4"/>
    <w:rsid w:val="00C55FD1"/>
    <w:rsid w:val="00C57DA6"/>
    <w:rsid w:val="00C6634A"/>
    <w:rsid w:val="00C7092F"/>
    <w:rsid w:val="00C71395"/>
    <w:rsid w:val="00C75A3D"/>
    <w:rsid w:val="00C77405"/>
    <w:rsid w:val="00C774F8"/>
    <w:rsid w:val="00C777B2"/>
    <w:rsid w:val="00C85158"/>
    <w:rsid w:val="00C870D6"/>
    <w:rsid w:val="00C87573"/>
    <w:rsid w:val="00C8780B"/>
    <w:rsid w:val="00C94ABF"/>
    <w:rsid w:val="00C94D67"/>
    <w:rsid w:val="00C956A8"/>
    <w:rsid w:val="00C95BA2"/>
    <w:rsid w:val="00CA21CA"/>
    <w:rsid w:val="00CA28B2"/>
    <w:rsid w:val="00CA4DA2"/>
    <w:rsid w:val="00CA79B2"/>
    <w:rsid w:val="00CA7A8E"/>
    <w:rsid w:val="00CA7F08"/>
    <w:rsid w:val="00CB2F0E"/>
    <w:rsid w:val="00CB7641"/>
    <w:rsid w:val="00CB79B5"/>
    <w:rsid w:val="00CC4A8A"/>
    <w:rsid w:val="00CC53BA"/>
    <w:rsid w:val="00CC5D65"/>
    <w:rsid w:val="00CC5FDB"/>
    <w:rsid w:val="00CC60A7"/>
    <w:rsid w:val="00CD1DFF"/>
    <w:rsid w:val="00CD2646"/>
    <w:rsid w:val="00CD2C92"/>
    <w:rsid w:val="00CD38F3"/>
    <w:rsid w:val="00CD41CC"/>
    <w:rsid w:val="00CD531B"/>
    <w:rsid w:val="00CE2F74"/>
    <w:rsid w:val="00CE3AFF"/>
    <w:rsid w:val="00CE48B1"/>
    <w:rsid w:val="00CE53B7"/>
    <w:rsid w:val="00CE6AF8"/>
    <w:rsid w:val="00CF1378"/>
    <w:rsid w:val="00CF140F"/>
    <w:rsid w:val="00CF4411"/>
    <w:rsid w:val="00CF5EAE"/>
    <w:rsid w:val="00CF6CDF"/>
    <w:rsid w:val="00D02EAC"/>
    <w:rsid w:val="00D03686"/>
    <w:rsid w:val="00D050FF"/>
    <w:rsid w:val="00D05F22"/>
    <w:rsid w:val="00D07601"/>
    <w:rsid w:val="00D07A79"/>
    <w:rsid w:val="00D11079"/>
    <w:rsid w:val="00D117D1"/>
    <w:rsid w:val="00D128FF"/>
    <w:rsid w:val="00D1596E"/>
    <w:rsid w:val="00D166B6"/>
    <w:rsid w:val="00D17768"/>
    <w:rsid w:val="00D17B5E"/>
    <w:rsid w:val="00D2050D"/>
    <w:rsid w:val="00D20A68"/>
    <w:rsid w:val="00D20D55"/>
    <w:rsid w:val="00D31FC3"/>
    <w:rsid w:val="00D35263"/>
    <w:rsid w:val="00D35341"/>
    <w:rsid w:val="00D353D0"/>
    <w:rsid w:val="00D368D1"/>
    <w:rsid w:val="00D45C6F"/>
    <w:rsid w:val="00D51354"/>
    <w:rsid w:val="00D53C5B"/>
    <w:rsid w:val="00D5540F"/>
    <w:rsid w:val="00D55B89"/>
    <w:rsid w:val="00D61FE7"/>
    <w:rsid w:val="00D63D20"/>
    <w:rsid w:val="00D6555E"/>
    <w:rsid w:val="00D66A22"/>
    <w:rsid w:val="00D7118A"/>
    <w:rsid w:val="00D71A69"/>
    <w:rsid w:val="00D7460C"/>
    <w:rsid w:val="00D74730"/>
    <w:rsid w:val="00D76052"/>
    <w:rsid w:val="00D76783"/>
    <w:rsid w:val="00D76A8C"/>
    <w:rsid w:val="00D777BD"/>
    <w:rsid w:val="00D80653"/>
    <w:rsid w:val="00D82418"/>
    <w:rsid w:val="00D85B36"/>
    <w:rsid w:val="00D90982"/>
    <w:rsid w:val="00D911A4"/>
    <w:rsid w:val="00D92CBC"/>
    <w:rsid w:val="00D95FDF"/>
    <w:rsid w:val="00DA037E"/>
    <w:rsid w:val="00DA044C"/>
    <w:rsid w:val="00DA0AA4"/>
    <w:rsid w:val="00DA118B"/>
    <w:rsid w:val="00DA1C4E"/>
    <w:rsid w:val="00DA37A6"/>
    <w:rsid w:val="00DA79A2"/>
    <w:rsid w:val="00DA7B62"/>
    <w:rsid w:val="00DA7C67"/>
    <w:rsid w:val="00DB1747"/>
    <w:rsid w:val="00DB2E5C"/>
    <w:rsid w:val="00DB2F7D"/>
    <w:rsid w:val="00DB3E6E"/>
    <w:rsid w:val="00DB523B"/>
    <w:rsid w:val="00DB5B4B"/>
    <w:rsid w:val="00DC37E4"/>
    <w:rsid w:val="00DC46FA"/>
    <w:rsid w:val="00DC6DA6"/>
    <w:rsid w:val="00DD27B9"/>
    <w:rsid w:val="00DE0132"/>
    <w:rsid w:val="00DE18A9"/>
    <w:rsid w:val="00DE1A24"/>
    <w:rsid w:val="00DE3611"/>
    <w:rsid w:val="00DE6C12"/>
    <w:rsid w:val="00DE7D91"/>
    <w:rsid w:val="00DF12FC"/>
    <w:rsid w:val="00DF50FC"/>
    <w:rsid w:val="00DF53B4"/>
    <w:rsid w:val="00DF59B9"/>
    <w:rsid w:val="00DF60D5"/>
    <w:rsid w:val="00DF6C5A"/>
    <w:rsid w:val="00E02E39"/>
    <w:rsid w:val="00E030EC"/>
    <w:rsid w:val="00E056D7"/>
    <w:rsid w:val="00E06940"/>
    <w:rsid w:val="00E07288"/>
    <w:rsid w:val="00E0753F"/>
    <w:rsid w:val="00E128A6"/>
    <w:rsid w:val="00E136A6"/>
    <w:rsid w:val="00E154C1"/>
    <w:rsid w:val="00E209A7"/>
    <w:rsid w:val="00E20B95"/>
    <w:rsid w:val="00E2142F"/>
    <w:rsid w:val="00E22F57"/>
    <w:rsid w:val="00E25059"/>
    <w:rsid w:val="00E3088A"/>
    <w:rsid w:val="00E337A7"/>
    <w:rsid w:val="00E351DC"/>
    <w:rsid w:val="00E361EE"/>
    <w:rsid w:val="00E377AF"/>
    <w:rsid w:val="00E4043F"/>
    <w:rsid w:val="00E4297B"/>
    <w:rsid w:val="00E43306"/>
    <w:rsid w:val="00E43A48"/>
    <w:rsid w:val="00E4578D"/>
    <w:rsid w:val="00E46DE4"/>
    <w:rsid w:val="00E50905"/>
    <w:rsid w:val="00E54E80"/>
    <w:rsid w:val="00E629E8"/>
    <w:rsid w:val="00E666F9"/>
    <w:rsid w:val="00E6711C"/>
    <w:rsid w:val="00E67209"/>
    <w:rsid w:val="00E67442"/>
    <w:rsid w:val="00E67F05"/>
    <w:rsid w:val="00E73534"/>
    <w:rsid w:val="00E739A2"/>
    <w:rsid w:val="00E7688F"/>
    <w:rsid w:val="00E8071B"/>
    <w:rsid w:val="00E8191F"/>
    <w:rsid w:val="00E82280"/>
    <w:rsid w:val="00E82E62"/>
    <w:rsid w:val="00E84D5D"/>
    <w:rsid w:val="00E90004"/>
    <w:rsid w:val="00E94B0E"/>
    <w:rsid w:val="00EA39D7"/>
    <w:rsid w:val="00EA5105"/>
    <w:rsid w:val="00EA528B"/>
    <w:rsid w:val="00EB0E57"/>
    <w:rsid w:val="00EB402B"/>
    <w:rsid w:val="00EB6713"/>
    <w:rsid w:val="00EC4A7F"/>
    <w:rsid w:val="00EC4D9D"/>
    <w:rsid w:val="00EC4F3A"/>
    <w:rsid w:val="00EC6156"/>
    <w:rsid w:val="00EC69EE"/>
    <w:rsid w:val="00EC7B3D"/>
    <w:rsid w:val="00ED0753"/>
    <w:rsid w:val="00ED1F3D"/>
    <w:rsid w:val="00ED334C"/>
    <w:rsid w:val="00ED378D"/>
    <w:rsid w:val="00ED50BA"/>
    <w:rsid w:val="00EE3393"/>
    <w:rsid w:val="00EE60CC"/>
    <w:rsid w:val="00EE769C"/>
    <w:rsid w:val="00EE7BAB"/>
    <w:rsid w:val="00EF3F73"/>
    <w:rsid w:val="00EF7366"/>
    <w:rsid w:val="00F03497"/>
    <w:rsid w:val="00F05664"/>
    <w:rsid w:val="00F07B6A"/>
    <w:rsid w:val="00F1060D"/>
    <w:rsid w:val="00F1104E"/>
    <w:rsid w:val="00F14ECA"/>
    <w:rsid w:val="00F16173"/>
    <w:rsid w:val="00F21490"/>
    <w:rsid w:val="00F30BE4"/>
    <w:rsid w:val="00F310EC"/>
    <w:rsid w:val="00F31FEF"/>
    <w:rsid w:val="00F322BB"/>
    <w:rsid w:val="00F32430"/>
    <w:rsid w:val="00F3544B"/>
    <w:rsid w:val="00F36ACD"/>
    <w:rsid w:val="00F36C59"/>
    <w:rsid w:val="00F40DA6"/>
    <w:rsid w:val="00F42924"/>
    <w:rsid w:val="00F42B5E"/>
    <w:rsid w:val="00F42CA3"/>
    <w:rsid w:val="00F50440"/>
    <w:rsid w:val="00F504F9"/>
    <w:rsid w:val="00F509EF"/>
    <w:rsid w:val="00F517CA"/>
    <w:rsid w:val="00F57B07"/>
    <w:rsid w:val="00F6030D"/>
    <w:rsid w:val="00F61593"/>
    <w:rsid w:val="00F61B0C"/>
    <w:rsid w:val="00F62AA9"/>
    <w:rsid w:val="00F62BA9"/>
    <w:rsid w:val="00F63547"/>
    <w:rsid w:val="00F66A66"/>
    <w:rsid w:val="00F673F5"/>
    <w:rsid w:val="00F70522"/>
    <w:rsid w:val="00F71002"/>
    <w:rsid w:val="00F71CE4"/>
    <w:rsid w:val="00F829FF"/>
    <w:rsid w:val="00F83D17"/>
    <w:rsid w:val="00F83FD2"/>
    <w:rsid w:val="00F8537B"/>
    <w:rsid w:val="00F93B09"/>
    <w:rsid w:val="00F97ABA"/>
    <w:rsid w:val="00FA3BD7"/>
    <w:rsid w:val="00FA77CF"/>
    <w:rsid w:val="00FB115E"/>
    <w:rsid w:val="00FB6265"/>
    <w:rsid w:val="00FC4FE6"/>
    <w:rsid w:val="00FC6533"/>
    <w:rsid w:val="00FD06DE"/>
    <w:rsid w:val="00FD381A"/>
    <w:rsid w:val="00FD532E"/>
    <w:rsid w:val="00FD6733"/>
    <w:rsid w:val="00FD7443"/>
    <w:rsid w:val="00FE34C4"/>
    <w:rsid w:val="00FE43A0"/>
    <w:rsid w:val="00FE4BD3"/>
    <w:rsid w:val="00FE5F3B"/>
    <w:rsid w:val="00FE745B"/>
    <w:rsid w:val="00FE780A"/>
    <w:rsid w:val="00FF0763"/>
    <w:rsid w:val="00FF0C6F"/>
    <w:rsid w:val="00FF0D71"/>
    <w:rsid w:val="00FF328C"/>
    <w:rsid w:val="00FF34AA"/>
    <w:rsid w:val="00FF5C0A"/>
    <w:rsid w:val="00FF62C5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689E"/>
  <w15:docId w15:val="{66DE1460-A78D-4707-8D1D-87ED6BC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A21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A21CA"/>
    <w:rPr>
      <w:sz w:val="24"/>
      <w:szCs w:val="24"/>
    </w:rPr>
  </w:style>
  <w:style w:type="table" w:styleId="Reetkatablice">
    <w:name w:val="Table Grid"/>
    <w:basedOn w:val="Obinatablica"/>
    <w:uiPriority w:val="59"/>
    <w:rsid w:val="0088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11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D2D6-F3B7-4283-AD6B-B05E6B69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2593</Words>
  <Characters>16384</Characters>
  <Application>Microsoft Office Word</Application>
  <DocSecurity>0</DocSecurity>
  <Lines>136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PUČKO OTVORENO UČILIŠTE</vt:lpstr>
      <vt:lpstr>PUČKO OTVORENO UČILIŠTE</vt:lpstr>
    </vt:vector>
  </TitlesOfParts>
  <Company>PO Učilište Križevci</Company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Nataša Bogdanović</cp:lastModifiedBy>
  <cp:revision>2</cp:revision>
  <cp:lastPrinted>2022-01-29T07:47:00Z</cp:lastPrinted>
  <dcterms:created xsi:type="dcterms:W3CDTF">2024-01-30T05:51:00Z</dcterms:created>
  <dcterms:modified xsi:type="dcterms:W3CDTF">2024-01-30T05:51:00Z</dcterms:modified>
</cp:coreProperties>
</file>